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37B26" w14:textId="77777777" w:rsidR="009409F9" w:rsidRDefault="009409F9" w:rsidP="009409F9">
      <w:pPr>
        <w:pStyle w:val="Heading1"/>
      </w:pPr>
      <w:r>
        <w:t xml:space="preserve">References </w:t>
      </w:r>
    </w:p>
    <w:p w14:paraId="5EF80EA9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1. </w:t>
      </w:r>
      <w:proofErr w:type="spellStart"/>
      <w:r>
        <w:rPr>
          <w:sz w:val="20"/>
        </w:rPr>
        <w:t>Croskerry</w:t>
      </w:r>
      <w:proofErr w:type="spellEnd"/>
      <w:r>
        <w:rPr>
          <w:sz w:val="20"/>
        </w:rPr>
        <w:t xml:space="preserve"> P. Clinical cognition and diagnostic error: applications of a dual process model of reasoning. Adv Health Sci Educ. 2009.  </w:t>
      </w:r>
      <w:hyperlink r:id="rId4">
        <w:r>
          <w:rPr>
            <w:sz w:val="20"/>
            <w:u w:val="single"/>
          </w:rPr>
          <w:t>PubMed</w:t>
        </w:r>
      </w:hyperlink>
      <w:r>
        <w:rPr>
          <w:sz w:val="20"/>
        </w:rPr>
        <w:t xml:space="preserve"> · </w:t>
      </w:r>
      <w:hyperlink r:id="rId5">
        <w:r>
          <w:rPr>
            <w:sz w:val="20"/>
            <w:u w:val="single"/>
          </w:rPr>
          <w:t>Springer</w:t>
        </w:r>
      </w:hyperlink>
    </w:p>
    <w:p w14:paraId="6D574986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2. </w:t>
      </w:r>
      <w:proofErr w:type="spellStart"/>
      <w:r>
        <w:rPr>
          <w:sz w:val="20"/>
        </w:rPr>
        <w:t>Croskerry</w:t>
      </w:r>
      <w:proofErr w:type="spellEnd"/>
      <w:r>
        <w:rPr>
          <w:sz w:val="20"/>
        </w:rPr>
        <w:t xml:space="preserve"> P, Singhal G, Mamede S. Cognitive debiasing 1: origins of bias and theory of debiasing. BMJ Qual Saf. 2013.  </w:t>
      </w:r>
      <w:hyperlink r:id="rId6">
        <w:r>
          <w:rPr>
            <w:sz w:val="20"/>
            <w:u w:val="single"/>
          </w:rPr>
          <w:t>PubMed</w:t>
        </w:r>
      </w:hyperlink>
    </w:p>
    <w:p w14:paraId="48AC9B9B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3. Klein G. Naturalistic Decision Making. Human Factors. 2008. See also Sources of Power: How People Make Decisions (1999) for the recognition-primed decision model.  </w:t>
      </w:r>
      <w:hyperlink r:id="rId7">
        <w:r>
          <w:rPr>
            <w:sz w:val="20"/>
            <w:u w:val="single"/>
          </w:rPr>
          <w:t>Journal</w:t>
        </w:r>
      </w:hyperlink>
      <w:r>
        <w:rPr>
          <w:sz w:val="20"/>
        </w:rPr>
        <w:t xml:space="preserve"> · </w:t>
      </w:r>
      <w:hyperlink r:id="rId8">
        <w:r>
          <w:rPr>
            <w:sz w:val="20"/>
            <w:u w:val="single"/>
          </w:rPr>
          <w:t>Overview</w:t>
        </w:r>
      </w:hyperlink>
    </w:p>
    <w:p w14:paraId="20DA61CD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4. U.S. Army Command and General Staff College. Recognition-Primed Decision Making — White Paper. 2016.  </w:t>
      </w:r>
      <w:hyperlink r:id="rId9">
        <w:r>
          <w:rPr>
            <w:sz w:val="20"/>
            <w:u w:val="single"/>
          </w:rPr>
          <w:t>PDF</w:t>
        </w:r>
      </w:hyperlink>
    </w:p>
    <w:p w14:paraId="74E6BCCD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5. Lauria MJ, Gallo IA, Rush S, Brooks J, Spiegel R, Weingart SD. Psychological Skills to Improve Emergency Care Providers' Performance Under Stress. Ann Emerg Med. 2017.  </w:t>
      </w:r>
      <w:hyperlink r:id="rId10">
        <w:r>
          <w:rPr>
            <w:sz w:val="20"/>
            <w:u w:val="single"/>
          </w:rPr>
          <w:t>PubMed</w:t>
        </w:r>
      </w:hyperlink>
      <w:r>
        <w:rPr>
          <w:sz w:val="20"/>
        </w:rPr>
        <w:t xml:space="preserve"> · </w:t>
      </w:r>
      <w:hyperlink r:id="rId11">
        <w:r>
          <w:rPr>
            <w:sz w:val="20"/>
            <w:u w:val="single"/>
          </w:rPr>
          <w:t>Full text</w:t>
        </w:r>
      </w:hyperlink>
    </w:p>
    <w:p w14:paraId="52E601AD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6. Meichenbaum D. Stress Inoculation Training: A Resilience-Engendering Intervention.  </w:t>
      </w:r>
      <w:hyperlink r:id="rId12">
        <w:r>
          <w:rPr>
            <w:sz w:val="20"/>
            <w:u w:val="single"/>
          </w:rPr>
          <w:t>PDF</w:t>
        </w:r>
      </w:hyperlink>
    </w:p>
    <w:p w14:paraId="5CDB37C4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7. RAND Corporation. Enhancing Performance Under Stress: Stress Inoculation Training for Battlefield Airmen. RR-750.  </w:t>
      </w:r>
      <w:hyperlink r:id="rId13">
        <w:r>
          <w:rPr>
            <w:sz w:val="20"/>
            <w:u w:val="single"/>
          </w:rPr>
          <w:t>PDF</w:t>
        </w:r>
      </w:hyperlink>
    </w:p>
    <w:p w14:paraId="60F745F3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8. Howard SK, Gaba DM, Fish KJ, Yang G, </w:t>
      </w:r>
      <w:proofErr w:type="spellStart"/>
      <w:r>
        <w:rPr>
          <w:sz w:val="20"/>
        </w:rPr>
        <w:t>Sarnquist</w:t>
      </w:r>
      <w:proofErr w:type="spellEnd"/>
      <w:r>
        <w:rPr>
          <w:sz w:val="20"/>
        </w:rPr>
        <w:t xml:space="preserve"> FH. Anesthesia crisis resource management training: teaching anesthesiologists to handle critical incidents. Aviat Space Environ Med. </w:t>
      </w:r>
      <w:proofErr w:type="gramStart"/>
      <w:r>
        <w:rPr>
          <w:sz w:val="20"/>
        </w:rPr>
        <w:t>1992;63:763</w:t>
      </w:r>
      <w:proofErr w:type="gramEnd"/>
      <w:r>
        <w:rPr>
          <w:sz w:val="20"/>
        </w:rPr>
        <w:t xml:space="preserve">–70.  </w:t>
      </w:r>
      <w:hyperlink r:id="rId14">
        <w:r>
          <w:rPr>
            <w:sz w:val="20"/>
            <w:u w:val="single"/>
          </w:rPr>
          <w:t>Record</w:t>
        </w:r>
      </w:hyperlink>
    </w:p>
    <w:p w14:paraId="09435CC3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9. Crisis Resource Management Training in Medical Simulation. </w:t>
      </w:r>
      <w:proofErr w:type="spellStart"/>
      <w:r>
        <w:rPr>
          <w:sz w:val="20"/>
        </w:rPr>
        <w:t>StatPearls</w:t>
      </w:r>
      <w:proofErr w:type="spellEnd"/>
      <w:r>
        <w:rPr>
          <w:sz w:val="20"/>
        </w:rPr>
        <w:t xml:space="preserve">.  </w:t>
      </w:r>
      <w:hyperlink r:id="rId15">
        <w:r>
          <w:rPr>
            <w:sz w:val="20"/>
            <w:u w:val="single"/>
          </w:rPr>
          <w:t>NCBI Bookshelf</w:t>
        </w:r>
      </w:hyperlink>
    </w:p>
    <w:p w14:paraId="784A6460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10. Boet S, Bould MD, Fung L, et al. Transfer of learning and patient outcome in simulated crisis resource management: a systematic review. Can J Anaesth. 2014.  </w:t>
      </w:r>
      <w:hyperlink r:id="rId16">
        <w:r>
          <w:rPr>
            <w:sz w:val="20"/>
            <w:u w:val="single"/>
          </w:rPr>
          <w:t>PubMed</w:t>
        </w:r>
      </w:hyperlink>
    </w:p>
    <w:p w14:paraId="58F9B846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11. Fung L, Boet S, Bould MD, et al. Impact of crisis resource management simulation-based training for interprofessional and interdisciplinary teams: a systematic review. J </w:t>
      </w:r>
      <w:proofErr w:type="spellStart"/>
      <w:r>
        <w:rPr>
          <w:sz w:val="20"/>
        </w:rPr>
        <w:t>Interprof</w:t>
      </w:r>
      <w:proofErr w:type="spellEnd"/>
      <w:r>
        <w:rPr>
          <w:sz w:val="20"/>
        </w:rPr>
        <w:t xml:space="preserve"> Care. 2015.  </w:t>
      </w:r>
      <w:hyperlink r:id="rId17">
        <w:r>
          <w:rPr>
            <w:sz w:val="20"/>
            <w:u w:val="single"/>
          </w:rPr>
          <w:t>Record</w:t>
        </w:r>
      </w:hyperlink>
    </w:p>
    <w:p w14:paraId="7F1F49F1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12. Sawyer TL, Deering S. Adaptation of the US Army's After-Action Review for Simulation Debriefing in Healthcare. Simul Healthc. 2013;8(6).  </w:t>
      </w:r>
      <w:hyperlink r:id="rId18">
        <w:r>
          <w:rPr>
            <w:sz w:val="20"/>
            <w:u w:val="single"/>
          </w:rPr>
          <w:t>PubMed</w:t>
        </w:r>
      </w:hyperlink>
      <w:r>
        <w:rPr>
          <w:sz w:val="20"/>
        </w:rPr>
        <w:t xml:space="preserve"> · </w:t>
      </w:r>
      <w:hyperlink r:id="rId19">
        <w:r>
          <w:rPr>
            <w:sz w:val="20"/>
            <w:u w:val="single"/>
          </w:rPr>
          <w:t>Journal</w:t>
        </w:r>
      </w:hyperlink>
    </w:p>
    <w:p w14:paraId="6E648DB2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13. Simulation on the job: an intensive care unit's report of how in situ simulation has impacted on human factors and ergonomics in the workplace.  </w:t>
      </w:r>
      <w:hyperlink r:id="rId20">
        <w:r>
          <w:rPr>
            <w:sz w:val="20"/>
            <w:u w:val="single"/>
          </w:rPr>
          <w:t>PMC</w:t>
        </w:r>
      </w:hyperlink>
    </w:p>
    <w:p w14:paraId="229CDC21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14. Pragmatic Approach to In Situ Simulation to Identify Latent Safety Threats Before Moving to a Newly Built ICU.  </w:t>
      </w:r>
      <w:hyperlink r:id="rId21">
        <w:r>
          <w:rPr>
            <w:sz w:val="20"/>
            <w:u w:val="single"/>
          </w:rPr>
          <w:t>PubMed</w:t>
        </w:r>
      </w:hyperlink>
    </w:p>
    <w:p w14:paraId="76B59834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15. Hospital-wide cardiac arrest in situ simulation to identify and mitigate latent safety threats.  </w:t>
      </w:r>
      <w:hyperlink r:id="rId22">
        <w:r>
          <w:rPr>
            <w:sz w:val="20"/>
            <w:u w:val="single"/>
          </w:rPr>
          <w:t>PMC</w:t>
        </w:r>
      </w:hyperlink>
    </w:p>
    <w:p w14:paraId="2F9D0844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16. Simulation Training in the ICU. Chest.  </w:t>
      </w:r>
      <w:hyperlink r:id="rId23">
        <w:r>
          <w:rPr>
            <w:sz w:val="20"/>
            <w:u w:val="single"/>
          </w:rPr>
          <w:t>PMC</w:t>
        </w:r>
      </w:hyperlink>
    </w:p>
    <w:p w14:paraId="3652D878" w14:textId="77777777" w:rsidR="009409F9" w:rsidRDefault="009409F9" w:rsidP="009409F9">
      <w:pPr>
        <w:spacing w:after="100"/>
        <w:ind w:left="432" w:hanging="432"/>
      </w:pPr>
      <w:r>
        <w:rPr>
          <w:sz w:val="20"/>
        </w:rPr>
        <w:t xml:space="preserve">17. </w:t>
      </w:r>
      <w:proofErr w:type="spellStart"/>
      <w:r>
        <w:rPr>
          <w:sz w:val="20"/>
        </w:rPr>
        <w:t>Ayyala</w:t>
      </w:r>
      <w:proofErr w:type="spellEnd"/>
      <w:r>
        <w:rPr>
          <w:sz w:val="20"/>
        </w:rPr>
        <w:t xml:space="preserve"> MS, </w:t>
      </w:r>
      <w:proofErr w:type="spellStart"/>
      <w:r>
        <w:rPr>
          <w:sz w:val="20"/>
        </w:rPr>
        <w:t>Skarupski</w:t>
      </w:r>
      <w:proofErr w:type="spellEnd"/>
      <w:r>
        <w:rPr>
          <w:sz w:val="20"/>
        </w:rPr>
        <w:t xml:space="preserve"> K, Bodurtha JN, et al. Mentorship Is Not Enough: Exploring Sponsorship and Its Role in Career Advancement in Academic Medicine. Acad Med. 2019;94(1).  </w:t>
      </w:r>
      <w:hyperlink r:id="rId24">
        <w:r>
          <w:rPr>
            <w:sz w:val="20"/>
            <w:u w:val="single"/>
          </w:rPr>
          <w:t>Journal</w:t>
        </w:r>
      </w:hyperlink>
    </w:p>
    <w:p w14:paraId="2BF39108" w14:textId="77777777" w:rsidR="005E4ED6" w:rsidRDefault="005E4ED6"/>
    <w:sectPr w:rsidR="005E4ED6" w:rsidSect="002A3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F9"/>
    <w:rsid w:val="00172F07"/>
    <w:rsid w:val="002A3F2D"/>
    <w:rsid w:val="005C7A4D"/>
    <w:rsid w:val="005E4ED6"/>
    <w:rsid w:val="007E2F9D"/>
    <w:rsid w:val="009409F9"/>
    <w:rsid w:val="00B33D5A"/>
    <w:rsid w:val="00D8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FB6944"/>
  <w15:chartTrackingRefBased/>
  <w15:docId w15:val="{782EA5EC-EAE4-3D4F-8888-3F20A6737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9F9"/>
    <w:pPr>
      <w:spacing w:after="120" w:line="276" w:lineRule="auto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9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9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9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9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9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9F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9F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9F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9F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9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9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9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9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9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9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9F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0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9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0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9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09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9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09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9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9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Recognition-primed_decision" TargetMode="External"/><Relationship Id="rId13" Type="http://schemas.openxmlformats.org/officeDocument/2006/relationships/hyperlink" Target="https://www.rand.org/content/dam/rand/pubs/research_reports/RR700/RR750/RAND_RR750.pdf" TargetMode="External"/><Relationship Id="rId18" Type="http://schemas.openxmlformats.org/officeDocument/2006/relationships/hyperlink" Target="https://pubmed.ncbi.nlm.nih.gov/24096913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pubmed.ncbi.nlm.nih.gov/38535489/" TargetMode="External"/><Relationship Id="rId7" Type="http://schemas.openxmlformats.org/officeDocument/2006/relationships/hyperlink" Target="https://journals.sagepub.com/doi/10.1518/001872008X288385" TargetMode="External"/><Relationship Id="rId12" Type="http://schemas.openxmlformats.org/officeDocument/2006/relationships/hyperlink" Target="https://melissainstitute.org/wp-content/uploads/2018/02/SIT9_10_17FinalMoore.pdf" TargetMode="External"/><Relationship Id="rId17" Type="http://schemas.openxmlformats.org/officeDocument/2006/relationships/hyperlink" Target="https://utoronto.scholaris.ca/items/af8c8a8c-e590-42d4-879e-159aa6431185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ubmed.ncbi.nlm.nih.gov/24664414/" TargetMode="External"/><Relationship Id="rId20" Type="http://schemas.openxmlformats.org/officeDocument/2006/relationships/hyperlink" Target="https://pmc.ncbi.nlm.nih.gov/articles/PMC8936907/" TargetMode="Externa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23882089/" TargetMode="External"/><Relationship Id="rId11" Type="http://schemas.openxmlformats.org/officeDocument/2006/relationships/hyperlink" Target="https://www.annemergmed.com/article/s0196-0644(17)30314-1/fulltext" TargetMode="External"/><Relationship Id="rId24" Type="http://schemas.openxmlformats.org/officeDocument/2006/relationships/hyperlink" Target="https://journals.lww.com/academicmedicine/fulltext/2019/01000/mentorship_is_not_enough__exploring_sponsorship.29.aspx" TargetMode="External"/><Relationship Id="rId5" Type="http://schemas.openxmlformats.org/officeDocument/2006/relationships/hyperlink" Target="https://link.springer.com/article/10.1007/s10459-009-9182-2" TargetMode="External"/><Relationship Id="rId15" Type="http://schemas.openxmlformats.org/officeDocument/2006/relationships/hyperlink" Target="https://www.ncbi.nlm.nih.gov/books/NBK551708/" TargetMode="External"/><Relationship Id="rId23" Type="http://schemas.openxmlformats.org/officeDocument/2006/relationships/hyperlink" Target="https://pmc.ncbi.nlm.nih.gov/articles/PMC6945651/" TargetMode="External"/><Relationship Id="rId10" Type="http://schemas.openxmlformats.org/officeDocument/2006/relationships/hyperlink" Target="https://pubmed.ncbi.nlm.nih.gov/28460863/" TargetMode="External"/><Relationship Id="rId19" Type="http://schemas.openxmlformats.org/officeDocument/2006/relationships/hyperlink" Target="https://journals.lww.com/simulationinhealthcare/abstract/2013/12000/adaptation_of_the_us_army_s_after_action_review.6.aspx" TargetMode="External"/><Relationship Id="rId4" Type="http://schemas.openxmlformats.org/officeDocument/2006/relationships/hyperlink" Target="https://pubmed.ncbi.nlm.nih.gov/19669918/" TargetMode="External"/><Relationship Id="rId9" Type="http://schemas.openxmlformats.org/officeDocument/2006/relationships/hyperlink" Target="https://cgsc.contentdm.oclc.org/digital/api/collection/p16040coll2/id/23/download" TargetMode="External"/><Relationship Id="rId14" Type="http://schemas.openxmlformats.org/officeDocument/2006/relationships/hyperlink" Target="https://www.researchgate.net/publication/21630255" TargetMode="External"/><Relationship Id="rId22" Type="http://schemas.openxmlformats.org/officeDocument/2006/relationships/hyperlink" Target="https://www.ncbi.nlm.nih.gov/pmc/articles/PMC912439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 Wolpaw</dc:creator>
  <cp:keywords/>
  <dc:description/>
  <cp:lastModifiedBy>Jed Wolpaw</cp:lastModifiedBy>
  <cp:revision>1</cp:revision>
  <dcterms:created xsi:type="dcterms:W3CDTF">2026-09-01T18:44:00Z</dcterms:created>
  <dcterms:modified xsi:type="dcterms:W3CDTF">2026-09-01T18:45:00Z</dcterms:modified>
</cp:coreProperties>
</file>