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192AA1" w14:textId="374FABAA" w:rsidR="00274359" w:rsidRDefault="00274359" w:rsidP="00274359">
      <w:r>
        <w:t>References</w:t>
      </w:r>
    </w:p>
    <w:p w14:paraId="46B90796" w14:textId="77777777" w:rsidR="00274359" w:rsidRDefault="00274359" w:rsidP="00274359"/>
    <w:p w14:paraId="7E8638D6" w14:textId="2E853117" w:rsidR="00274359" w:rsidRDefault="00274359" w:rsidP="00274359">
      <w:r>
        <w:t>El-</w:t>
      </w:r>
      <w:proofErr w:type="spellStart"/>
      <w:r>
        <w:t>Mowafy</w:t>
      </w:r>
      <w:proofErr w:type="spellEnd"/>
      <w:r>
        <w:t xml:space="preserve"> A, </w:t>
      </w:r>
      <w:proofErr w:type="spellStart"/>
      <w:r>
        <w:t>Yarascavitch</w:t>
      </w:r>
      <w:proofErr w:type="spellEnd"/>
      <w:r>
        <w:t xml:space="preserve"> C, Haji H, Quiñonez C, Haas DA. Mortality and Morbidity in Office-Based General Anesthesia for Dentistry in Ontario. </w:t>
      </w:r>
      <w:proofErr w:type="spellStart"/>
      <w:r>
        <w:t>Anesth</w:t>
      </w:r>
      <w:proofErr w:type="spellEnd"/>
      <w:r>
        <w:t xml:space="preserve"> Prog. 2019 Fall;66(3):141-150. </w:t>
      </w:r>
      <w:proofErr w:type="spellStart"/>
      <w:r>
        <w:t>doi</w:t>
      </w:r>
      <w:proofErr w:type="spellEnd"/>
      <w:r>
        <w:t>: 10.2344/anpr-66-02-07. PMID: 31545669; PMCID: PMC6759641.</w:t>
      </w:r>
    </w:p>
    <w:p w14:paraId="2004B212" w14:textId="77777777" w:rsidR="00274359" w:rsidRDefault="00274359" w:rsidP="00274359"/>
    <w:p w14:paraId="7E3F72DC" w14:textId="0B218555" w:rsidR="00274359" w:rsidRDefault="00274359" w:rsidP="00274359">
      <w:r>
        <w:t>Branch R, Cole K. Advanced Airway Management Skill Decay: A Review of the Literature. AANA J. 2024 Jun;92(3):167-172. PMID: 38758710.</w:t>
      </w:r>
    </w:p>
    <w:p w14:paraId="63264B32" w14:textId="77777777" w:rsidR="00274359" w:rsidRDefault="00274359" w:rsidP="00274359"/>
    <w:p w14:paraId="4E140DAF" w14:textId="4F1F9EF2" w:rsidR="005E4ED6" w:rsidRDefault="00274359" w:rsidP="00274359">
      <w:r>
        <w:t>Ortega, R., &amp; Nasrullah, K. (2019, February). On reducing fixation errors. APSF Newsletter, 34(1), 102–104.</w:t>
      </w:r>
    </w:p>
    <w:sectPr w:rsidR="005E4ED6" w:rsidSect="002A3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59"/>
    <w:rsid w:val="00172F07"/>
    <w:rsid w:val="00274359"/>
    <w:rsid w:val="002A3F2D"/>
    <w:rsid w:val="005C7A4D"/>
    <w:rsid w:val="005E4ED6"/>
    <w:rsid w:val="007E2F9D"/>
    <w:rsid w:val="00B33D5A"/>
    <w:rsid w:val="00E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B24750"/>
  <w15:chartTrackingRefBased/>
  <w15:docId w15:val="{271EE400-C467-2B4C-BA8B-764FC1F6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3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 Wolpaw</dc:creator>
  <cp:keywords/>
  <dc:description/>
  <cp:lastModifiedBy>Jed Wolpaw</cp:lastModifiedBy>
  <cp:revision>1</cp:revision>
  <dcterms:created xsi:type="dcterms:W3CDTF">2026-08-03T16:41:00Z</dcterms:created>
  <dcterms:modified xsi:type="dcterms:W3CDTF">2026-08-03T16:41:00Z</dcterms:modified>
</cp:coreProperties>
</file>