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0C139" w14:textId="5F12B03F" w:rsidR="000952B9" w:rsidRDefault="000952B9" w:rsidP="000952B9">
      <w:pPr>
        <w:jc w:val="center"/>
        <w:rPr>
          <w:rFonts w:ascii="Aptos" w:eastAsia="Times New Roman" w:hAnsi="Aptos" w:cs="Times New Roman"/>
          <w:b/>
          <w:bCs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REFERENCES</w:t>
      </w:r>
    </w:p>
    <w:p w14:paraId="5758C348" w14:textId="77777777" w:rsidR="000952B9" w:rsidRDefault="000952B9" w:rsidP="000952B9">
      <w:pPr>
        <w:rPr>
          <w:rFonts w:ascii="Aptos" w:eastAsia="Times New Roman" w:hAnsi="Aptos" w:cs="Times New Roman"/>
          <w:b/>
          <w:bCs/>
          <w:color w:val="000000"/>
        </w:rPr>
      </w:pPr>
    </w:p>
    <w:p w14:paraId="355B9963" w14:textId="6E914D8B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Background: </w:t>
      </w:r>
    </w:p>
    <w:p w14:paraId="1618311A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</w:p>
    <w:p w14:paraId="39206685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Andersen LW, Holmberg MJ, Berg KM,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Donnino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MW, Granfeldt A. In-hospital cardiac arrest: a review. JAMA. 2019;321(12):1200–1210.</w:t>
      </w:r>
    </w:p>
    <w:p w14:paraId="2B09DF60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Kleinman ME, Buick JE, Huber N, Idris AH, Levy M, Morgan SG,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Nassal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MJ, Neth MR,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Norii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T, Nunnally ME, Rodriguez AJ, Walsh BK, Drennan IR. Part 7: adult basic life support: 2025 American Heart Association Guidelines for CPR and ECC. Circulation. 2025;152(suppl 2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):S</w:t>
      </w:r>
      <w:proofErr w:type="gramEnd"/>
      <w:r w:rsidRPr="000952B9">
        <w:rPr>
          <w:rFonts w:ascii="Aptos" w:eastAsia="Times New Roman" w:hAnsi="Aptos" w:cs="Times New Roman"/>
          <w:color w:val="000000"/>
        </w:rPr>
        <w:t>448–S478. doi:10.1161/CIR.0000000000001369</w:t>
      </w:r>
    </w:p>
    <w:p w14:paraId="34CB1E4C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proofErr w:type="spellStart"/>
      <w:r w:rsidRPr="000952B9">
        <w:rPr>
          <w:rFonts w:ascii="Aptos" w:eastAsia="Times New Roman" w:hAnsi="Aptos" w:cs="Times New Roman"/>
          <w:color w:val="000000"/>
        </w:rPr>
        <w:t>Dezfulian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C, Cabañas JG, Buckley JR, Cash RE, Crowe RP, Drennan IR, Mahgoub M, Mannarino CN, May T, Salcido DD, et al. Part 4: systems of care: 2025 American Heart Association Guidelines for CPR and ECC. Circulation. 2025;152(suppl 2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):S</w:t>
      </w:r>
      <w:proofErr w:type="gramEnd"/>
      <w:r w:rsidRPr="000952B9">
        <w:rPr>
          <w:rFonts w:ascii="Aptos" w:eastAsia="Times New Roman" w:hAnsi="Aptos" w:cs="Times New Roman"/>
          <w:color w:val="000000"/>
        </w:rPr>
        <w:t>353–S384. doi:10.1161/CIR.0000000000001378</w:t>
      </w:r>
    </w:p>
    <w:p w14:paraId="6F561AD4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proofErr w:type="spellStart"/>
      <w:r w:rsidRPr="000952B9">
        <w:rPr>
          <w:rFonts w:ascii="Aptos" w:eastAsia="Times New Roman" w:hAnsi="Aptos" w:cs="Times New Roman"/>
          <w:color w:val="000000"/>
        </w:rPr>
        <w:t>Schluep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M  et al.</w:t>
      </w:r>
      <w:proofErr w:type="gramEnd"/>
      <w:r w:rsidRPr="000952B9">
        <w:rPr>
          <w:rFonts w:ascii="Aptos" w:eastAsia="Times New Roman" w:hAnsi="Aptos" w:cs="Times New Roman"/>
          <w:color w:val="000000"/>
        </w:rPr>
        <w:t xml:space="preserve"> Long-term survival and health-related quality of life after in-hospital cardiac arrest. Resuscitation. 2021 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Oct;167:297</w:t>
      </w:r>
      <w:proofErr w:type="gramEnd"/>
      <w:r w:rsidRPr="000952B9">
        <w:rPr>
          <w:rFonts w:ascii="Aptos" w:eastAsia="Times New Roman" w:hAnsi="Aptos" w:cs="Times New Roman"/>
          <w:color w:val="000000"/>
        </w:rPr>
        <w:t>-306.</w:t>
      </w:r>
    </w:p>
    <w:p w14:paraId="55503352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proofErr w:type="spellStart"/>
      <w:r w:rsidRPr="000952B9">
        <w:rPr>
          <w:rFonts w:ascii="Aptos" w:eastAsia="Times New Roman" w:hAnsi="Aptos" w:cs="Times New Roman"/>
          <w:color w:val="000000"/>
        </w:rPr>
        <w:t>Damluji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AA et al. Health Care Costs After Cardiac Arrest in the United States. Circ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Arrhythm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Electrophysiol</w:t>
      </w:r>
      <w:proofErr w:type="spellEnd"/>
      <w:r w:rsidRPr="000952B9">
        <w:rPr>
          <w:rFonts w:ascii="Aptos" w:eastAsia="Times New Roman" w:hAnsi="Aptos" w:cs="Times New Roman"/>
          <w:color w:val="000000"/>
        </w:rPr>
        <w:t>. 2018 Apr;11(4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):e</w:t>
      </w:r>
      <w:proofErr w:type="gramEnd"/>
      <w:r w:rsidRPr="000952B9">
        <w:rPr>
          <w:rFonts w:ascii="Aptos" w:eastAsia="Times New Roman" w:hAnsi="Aptos" w:cs="Times New Roman"/>
          <w:color w:val="000000"/>
        </w:rPr>
        <w:t>005689.</w:t>
      </w:r>
    </w:p>
    <w:p w14:paraId="00CDB7D2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Roedl K, Heinrich F, Ovesen C, et al. Location of In-Hospital Cardiac Arrest: An Updated Analysis of Epidemiology, Emergency Response, and Outcomes. </w:t>
      </w:r>
      <w:r w:rsidRPr="000952B9">
        <w:rPr>
          <w:rFonts w:ascii="Aptos" w:eastAsia="Times New Roman" w:hAnsi="Aptos" w:cs="Times New Roman"/>
          <w:b/>
          <w:bCs/>
          <w:i/>
          <w:iCs/>
          <w:color w:val="000000"/>
        </w:rPr>
        <w:t>Crit Care Med</w:t>
      </w:r>
      <w:r w:rsidRPr="000952B9">
        <w:rPr>
          <w:rFonts w:ascii="Aptos" w:eastAsia="Times New Roman" w:hAnsi="Aptos" w:cs="Times New Roman"/>
          <w:b/>
          <w:bCs/>
          <w:color w:val="000000"/>
        </w:rPr>
        <w:t>. 2026;54(5):1180-1189. doi:10.1097/CCM.0000000000007063</w:t>
      </w:r>
    </w:p>
    <w:p w14:paraId="6F119D65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Lee A, Bishop G, Hillman KM,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Daffurn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K. The medical emergency team.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Anaesth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Intensive Care. 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1995;23:183</w:t>
      </w:r>
      <w:proofErr w:type="gramEnd"/>
      <w:r w:rsidRPr="000952B9">
        <w:rPr>
          <w:rFonts w:ascii="Aptos" w:eastAsia="Times New Roman" w:hAnsi="Aptos" w:cs="Times New Roman"/>
          <w:color w:val="000000"/>
        </w:rPr>
        <w:t>–186.</w:t>
      </w:r>
    </w:p>
    <w:p w14:paraId="11D02F0C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Bristow PJ, Hillman KM, Chey T,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Daffurn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K, Jacques TC, Norman SL, Bishop GF, Simmons EG. Rates of in-hospital arrests, deaths and intensive care admissions: the effect of a medical emergency team. Med J Aust. 2000;173(5):236–240. doi:10.5694/j.1326-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5377.2000.tb</w:t>
      </w:r>
      <w:proofErr w:type="gramEnd"/>
      <w:r w:rsidRPr="000952B9">
        <w:rPr>
          <w:rFonts w:ascii="Aptos" w:eastAsia="Times New Roman" w:hAnsi="Aptos" w:cs="Times New Roman"/>
          <w:color w:val="000000"/>
        </w:rPr>
        <w:t>125627.x</w:t>
      </w:r>
    </w:p>
    <w:p w14:paraId="7AA987E4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Hillman K, Chen J,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Cretikos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M, Bellomo R, Brown D, Doig G,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Finfer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S,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Flabouris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A; MERIT study investigators. Introduction of the medical emergency team (MET) system: a cluster-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randomised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controlled trial. Lancet. 2005;365(9477):2091–2097. doi:10.1016/S0140-6736(05)66733-5</w:t>
      </w:r>
    </w:p>
    <w:p w14:paraId="54CF404B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Solomon RS, Corwin GS, Barclay DC,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Quddusi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SF, Dannenberg MD. Effectiveness of rapid response teams on rates of in-hospital cardiopulmonary arrest and mortality: a systematic review and meta-analysis. J Hosp Med. 2016;11(6):438–445.</w:t>
      </w:r>
    </w:p>
    <w:p w14:paraId="2DE270DD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Maharaj R, Raffaele I,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Wendon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J. Rapid response systems: a systematic review and meta-analysis. Crit Care. 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2015;19:254</w:t>
      </w:r>
      <w:proofErr w:type="gramEnd"/>
      <w:r w:rsidRPr="000952B9">
        <w:rPr>
          <w:rFonts w:ascii="Aptos" w:eastAsia="Times New Roman" w:hAnsi="Aptos" w:cs="Times New Roman"/>
          <w:color w:val="000000"/>
        </w:rPr>
        <w:t>. doi:10.1186/s13054-015-0973-y</w:t>
      </w:r>
    </w:p>
    <w:p w14:paraId="63108C2D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lastRenderedPageBreak/>
        <w:t xml:space="preserve">Zhang Q, Lee K, Mansor Z, Ismail I, Guo Y, Xiao Q, Lim PY. Effects of a rapid response team on patient outcomes: a systematic review. Heart Lung.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2024;63:51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–64.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doi:10.1016/j.hrtlng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>.2023.09.007</w:t>
      </w:r>
    </w:p>
    <w:p w14:paraId="0CDE758A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Chan PS, et al. Readmission rates and long-term hospital costs among survivors of in-hospital cardiac arrest. Circ Cardiovasc Qual Outcomes. 2014;7(6):952–958.</w:t>
      </w:r>
    </w:p>
    <w:p w14:paraId="4D4FE4C8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The Joint Commission. Resuscitation standards for hospitals: PC.02.01.11, PC.02.01.20, PI.01.01.01 EP 10, PI.03.01.01 EP 22. Effective January 1, 2022.</w:t>
      </w:r>
    </w:p>
    <w:p w14:paraId="0D08A899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Schein RM,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Hazday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N, Pena M, Ruben BH, Sprung CL. Clinical antecedents to in-hospital cardiopulmonary arrest. Chest. 1990;98(6):1388-1392.</w:t>
      </w:r>
    </w:p>
    <w:p w14:paraId="2038A431" w14:textId="77777777" w:rsidR="000952B9" w:rsidRPr="000952B9" w:rsidRDefault="000952B9" w:rsidP="000952B9">
      <w:pPr>
        <w:numPr>
          <w:ilvl w:val="0"/>
          <w:numId w:val="2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Andersen LW, Kim WY, Chase M, et al. The prevalence and significance of abnormal vital signs prior to in-hospital cardiac arrest. Resuscitation.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2016;98:112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>-117.</w:t>
      </w:r>
    </w:p>
    <w:p w14:paraId="37FF9E87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Who should lead an RRT? </w:t>
      </w:r>
    </w:p>
    <w:p w14:paraId="647179C2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</w:p>
    <w:p w14:paraId="7058E3B6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Gupta P, Gordon AJ, Lighthall G, Moore AR, Ramaswamy T. Critical escalation of rapid response team activation varies by diagnosis. Crit Care Med. 2026;54(3S) [Abstract 1588].</w:t>
      </w:r>
    </w:p>
    <w:p w14:paraId="1D24ADF6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Factora F, et al. Effect of a rapid response team on the incidence of in-hospital mortality.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Anesth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Analg. 2022;135(3):595–604.</w:t>
      </w:r>
    </w:p>
    <w:p w14:paraId="23327EFA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Atkins JH, et al. An airway rapid response system: implementation and utilization in a large academic trauma center.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Jt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Comm J Qual Patient Saf. 2017;43(12):653–660.</w:t>
      </w:r>
    </w:p>
    <w:p w14:paraId="633DF0AB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Al-Qahtani S, Al-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Dorzi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HM, Tamim HM, et al. Impact of an intensivist-led multidisciplinary extended rapid response team on hospital-wide cardiopulmonary arrests and mortality. Crit Care Med. 2013;41(2):506–517.</w:t>
      </w:r>
    </w:p>
    <w:p w14:paraId="5A46C4A2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Honarmand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K, Wax RS, Penoyer D, Lighthall G, et al. Society of Critical Care Medicine guidelines on recognizing and responding to clinical deterioration outside the ICU: 2023. Crit Care Med. 2024;52(2):314–330.</w:t>
      </w:r>
    </w:p>
    <w:p w14:paraId="67F265FF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Dukes K, Bunch JL, Chan PS, et al. Assessment of rapid response teams at top-performing hospitals for in-hospital cardiac arrest. JAMA Intern Med. 2019;179(10):1398–1405.</w:t>
      </w:r>
    </w:p>
    <w:p w14:paraId="593FDE19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Bennett SR, et al. Role of the anesthesiologist-intensivist outside the ICU. Curr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Opin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Anaesthesiol</w:t>
      </w:r>
      <w:proofErr w:type="spellEnd"/>
      <w:r w:rsidRPr="000952B9">
        <w:rPr>
          <w:rFonts w:ascii="Aptos" w:eastAsia="Times New Roman" w:hAnsi="Aptos" w:cs="Times New Roman"/>
          <w:color w:val="000000"/>
        </w:rPr>
        <w:t>. 2018;31(2):165–171.</w:t>
      </w:r>
    </w:p>
    <w:p w14:paraId="02384598" w14:textId="77777777" w:rsidR="000952B9" w:rsidRPr="000952B9" w:rsidRDefault="000952B9" w:rsidP="000952B9">
      <w:pPr>
        <w:numPr>
          <w:ilvl w:val="0"/>
          <w:numId w:val="3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Gupta RR, Gonzalez C, Wang J, Martillo M, Kohli-Seth R. Rapid response team integration at a quaternary care academic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centre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: new paradigm for critical care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organistions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>. Postgrad Med J. 2021;97(1149):459-463. doi:10.1136/postgradmedj-2020-137497</w:t>
      </w:r>
    </w:p>
    <w:p w14:paraId="43D289E5" w14:textId="77777777" w:rsidR="000952B9" w:rsidRPr="000952B9" w:rsidRDefault="000952B9" w:rsidP="000952B9">
      <w:pPr>
        <w:numPr>
          <w:ilvl w:val="0"/>
          <w:numId w:val="3"/>
        </w:numPr>
        <w:spacing w:before="100" w:beforeAutospacing="1" w:after="100" w:afterAutospacing="1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lastRenderedPageBreak/>
        <w:t xml:space="preserve">Mitchell OJL,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Motschwiller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CW, Horowitz JM, Evans LE, Mukherjee V.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Characterising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variation in composition and activation criteria of rapid response and cardiac arrest teams: a survey of Medicare participating hospitals in five American states. BMJ Open. 2019;9(3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):e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>024548. Published 2019 Mar 8. Doi:10.1136/bmjopen-2018-024548</w:t>
      </w:r>
    </w:p>
    <w:p w14:paraId="7F010070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The Financial Case: </w:t>
      </w:r>
    </w:p>
    <w:p w14:paraId="647ACF42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</w:p>
    <w:p w14:paraId="566DF982" w14:textId="77777777" w:rsidR="000952B9" w:rsidRPr="000952B9" w:rsidRDefault="000952B9" w:rsidP="000952B9">
      <w:pPr>
        <w:numPr>
          <w:ilvl w:val="0"/>
          <w:numId w:val="4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Sessim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>-Filho J, Azevedo RP, Assuncao-Jr AN, et al. Dedicated rapid response team implementation associated with reductions in hospital mortality and hospital expenses: a retrospective cohort analysis. Int J Qual Health Care. 2025;37(2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):mzaf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>030. Doi:10.1093/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intqhc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>/mzaf030</w:t>
      </w:r>
    </w:p>
    <w:p w14:paraId="5409C498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Education: </w:t>
      </w:r>
    </w:p>
    <w:p w14:paraId="15C7E94B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</w:p>
    <w:p w14:paraId="314D8F34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Ramaswamy T, Lighthall G. Ward staff education in the age of rapid response systems. In: Textbook of Rapid Response Systems. 3rd ed. Springer; 2024.</w:t>
      </w:r>
    </w:p>
    <w:p w14:paraId="077B9722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Ramaswamy T, Sparling JL, Chang MG, Bittner EA. Ten misconceptions regarding decision-making in critical care. World J Crit Care Med. 2024;13(2):89644.</w:t>
      </w:r>
    </w:p>
    <w:p w14:paraId="2B61B3A4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Ramaswamy T, Hootman J, Wilson J, Rogers A. Understanding physician trainee attitudes and knowledge of IVC ultrasound [abstract]. Am J Respir Crit Care Med. 2022;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205:A</w:t>
      </w:r>
      <w:proofErr w:type="gramEnd"/>
      <w:r w:rsidRPr="000952B9">
        <w:rPr>
          <w:rFonts w:ascii="Aptos" w:eastAsia="Times New Roman" w:hAnsi="Aptos" w:cs="Times New Roman"/>
          <w:color w:val="000000"/>
        </w:rPr>
        <w:t>3961.</w:t>
      </w:r>
    </w:p>
    <w:p w14:paraId="5E356E92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Donoghue A, Auerbach M, Banerjee A, Blewer A, Cheng A, Kadlec K, Lin Y, Diederich E, Sawyer T, Stallings D, et al. Part 12: resuscitation education science: 2025 American Heart Association Guidelines for CPR and ECC. Circulation. 2025;152(suppl 2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):S</w:t>
      </w:r>
      <w:proofErr w:type="gramEnd"/>
      <w:r w:rsidRPr="000952B9">
        <w:rPr>
          <w:rFonts w:ascii="Aptos" w:eastAsia="Times New Roman" w:hAnsi="Aptos" w:cs="Times New Roman"/>
          <w:color w:val="000000"/>
        </w:rPr>
        <w:t>719–S750. doi:10.1161/CIR.0000000000001374</w:t>
      </w:r>
    </w:p>
    <w:p w14:paraId="42DFC8A1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Yan L, et al. Identifying, understanding, and minimizing unconscious cognitive biases in perioperative crisis management.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Anesth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Analg. 2024;139(1):68–77.</w:t>
      </w:r>
    </w:p>
    <w:p w14:paraId="1E20B06B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Stiegler MP,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Neelankavil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JP, Canales C, Dhillon A. Cognitive errors detected in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anaesthesiology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>: a literature review and pilot study. </w:t>
      </w:r>
      <w:r w:rsidRPr="000952B9">
        <w:rPr>
          <w:rFonts w:ascii="Aptos" w:eastAsia="Times New Roman" w:hAnsi="Aptos" w:cs="Times New Roman"/>
          <w:b/>
          <w:bCs/>
          <w:i/>
          <w:iCs/>
          <w:color w:val="000000"/>
        </w:rPr>
        <w:t>Br J Anaesth</w:t>
      </w:r>
      <w:r w:rsidRPr="000952B9">
        <w:rPr>
          <w:rFonts w:ascii="Aptos" w:eastAsia="Times New Roman" w:hAnsi="Aptos" w:cs="Times New Roman"/>
          <w:b/>
          <w:bCs/>
          <w:color w:val="000000"/>
        </w:rPr>
        <w:t>. 2012;108(2):229–235. doi:10.1093/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bja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>/aer387. PMID: 22157846</w:t>
      </w:r>
    </w:p>
    <w:p w14:paraId="671CA9DF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Wolfe H, et al. Interdisciplinary ICU cardiac arrest debriefing improves survival outcomes. Crit Care Med. 2014;42(7):1688–1695.</w:t>
      </w:r>
    </w:p>
    <w:p w14:paraId="51ADC845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Anderson TM,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Secrest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K, Krein SL, et al. Best Practices for Education and Training of Resuscitation Teams for In-Hospital Cardiac Arrest. </w:t>
      </w:r>
      <w:r w:rsidRPr="000952B9">
        <w:rPr>
          <w:rFonts w:ascii="Aptos" w:eastAsia="Times New Roman" w:hAnsi="Aptos" w:cs="Times New Roman"/>
          <w:i/>
          <w:iCs/>
          <w:color w:val="000000"/>
        </w:rPr>
        <w:t>Circ Cardiovasc Qual Outcomes</w:t>
      </w:r>
      <w:r w:rsidRPr="000952B9">
        <w:rPr>
          <w:rFonts w:ascii="Aptos" w:eastAsia="Times New Roman" w:hAnsi="Aptos" w:cs="Times New Roman"/>
          <w:color w:val="000000"/>
        </w:rPr>
        <w:t>. 2021;14(12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):e</w:t>
      </w:r>
      <w:proofErr w:type="gramEnd"/>
      <w:r w:rsidRPr="000952B9">
        <w:rPr>
          <w:rFonts w:ascii="Aptos" w:eastAsia="Times New Roman" w:hAnsi="Aptos" w:cs="Times New Roman"/>
          <w:color w:val="000000"/>
        </w:rPr>
        <w:t>008587. doi:10.1161/CIRCOUTCOMES.121.008587</w:t>
      </w:r>
    </w:p>
    <w:p w14:paraId="12E8ED5D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lastRenderedPageBreak/>
        <w:t xml:space="preserve">Fatima S, Soria S, Esteban-Cruciani N. Medical errors during training: how do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residents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cope?: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a descriptive study. </w:t>
      </w:r>
      <w:r w:rsidRPr="000952B9">
        <w:rPr>
          <w:rFonts w:ascii="Aptos" w:eastAsia="Times New Roman" w:hAnsi="Aptos" w:cs="Times New Roman"/>
          <w:b/>
          <w:bCs/>
          <w:i/>
          <w:iCs/>
          <w:color w:val="000000"/>
        </w:rPr>
        <w:t>BMC Med Educ</w:t>
      </w:r>
      <w:r w:rsidRPr="000952B9">
        <w:rPr>
          <w:rFonts w:ascii="Aptos" w:eastAsia="Times New Roman" w:hAnsi="Aptos" w:cs="Times New Roman"/>
          <w:b/>
          <w:bCs/>
          <w:color w:val="000000"/>
        </w:rPr>
        <w:t>. 2021;21(1):408. Published 2021 Jul 29. doi:10.1186/s12909-021-02850-1</w:t>
      </w:r>
    </w:p>
    <w:p w14:paraId="0CE6CAA7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Bankhead BK, et al. Bias in the trauma bay: a multicenter qualitative study on team communication. J Trauma Acute Care Surg. 2023;94(6):771–777.</w:t>
      </w:r>
    </w:p>
    <w:p w14:paraId="0CF90F2F" w14:textId="77777777" w:rsidR="000952B9" w:rsidRPr="000952B9" w:rsidRDefault="000952B9" w:rsidP="000952B9">
      <w:pPr>
        <w:numPr>
          <w:ilvl w:val="0"/>
          <w:numId w:val="5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Blagojevic C, Nayyar D, Rawal S. Practical considerations for improving quality of care for hospitalized patients with a nondominant language preference. JAMA Intern Med. Published online March 30, 2026. </w:t>
      </w:r>
    </w:p>
    <w:p w14:paraId="49C83F7D" w14:textId="77777777" w:rsidR="000952B9" w:rsidRPr="000952B9" w:rsidRDefault="000952B9" w:rsidP="000952B9">
      <w:pPr>
        <w:spacing w:after="100"/>
        <w:ind w:left="1224"/>
        <w:rPr>
          <w:rFonts w:ascii="Aptos" w:eastAsia="Times New Roman" w:hAnsi="Aptos" w:cs="Times New Roman"/>
          <w:color w:val="000000"/>
        </w:rPr>
      </w:pPr>
    </w:p>
    <w:p w14:paraId="223867D8" w14:textId="77777777" w:rsidR="000952B9" w:rsidRPr="000952B9" w:rsidRDefault="000952B9" w:rsidP="000952B9">
      <w:pPr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EWS/AI: </w:t>
      </w:r>
    </w:p>
    <w:p w14:paraId="68F47D3E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Chua WL,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Azimirad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M, Chia M, Jones D, Woon PY. Effects of real-time automated clinical deterioration alert and trigger systems on clinical outcomes in adult general ward patients: a systematic review and meta-analysis. Crit Care Med. 2026;54(3):557–570. doi:10.1097/CCM.0000000000006960</w:t>
      </w:r>
    </w:p>
    <w:p w14:paraId="0675A113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Rossetti SC, Dykes PC,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Knaplund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C, Kang MJ,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Schnock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K, Garcia JP Jr, Fu LH, Chang FY, Thai T, Fred M, Korach TZ, Zhou L, Klann JG, Albers D, Schwartz-Dillard J, Lowenthal G, Jia H, Liu F, Cato KD. Real-time surveillance system for patient deterioration: a pragmatic cluster-randomized controlled trial. Nat Med. </w:t>
      </w:r>
      <w:proofErr w:type="gramStart"/>
      <w:r w:rsidRPr="000952B9">
        <w:rPr>
          <w:rFonts w:ascii="Aptos" w:eastAsia="Times New Roman" w:hAnsi="Aptos" w:cs="Times New Roman"/>
          <w:b/>
          <w:bCs/>
          <w:color w:val="000000"/>
        </w:rPr>
        <w:t>2025;31:1895</w:t>
      </w:r>
      <w:proofErr w:type="gramEnd"/>
      <w:r w:rsidRPr="000952B9">
        <w:rPr>
          <w:rFonts w:ascii="Aptos" w:eastAsia="Times New Roman" w:hAnsi="Aptos" w:cs="Times New Roman"/>
          <w:b/>
          <w:bCs/>
          <w:color w:val="000000"/>
        </w:rPr>
        <w:t>–1902. doi:10.1038/s41591-025-03609-7</w:t>
      </w:r>
    </w:p>
    <w:p w14:paraId="69B0F871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Keim-Malpass J, Ratcliffe SJ, Clark MT, et al. A randomized controlled trial of artificial intelligence-based analytics for clinical deterioration. </w:t>
      </w:r>
      <w:r w:rsidRPr="000952B9">
        <w:rPr>
          <w:rFonts w:ascii="Aptos" w:eastAsia="Times New Roman" w:hAnsi="Aptos" w:cs="Times New Roman"/>
          <w:b/>
          <w:bCs/>
          <w:i/>
          <w:iCs/>
          <w:color w:val="000000"/>
        </w:rPr>
        <w:t>Sci Rep</w:t>
      </w:r>
      <w:r w:rsidRPr="000952B9">
        <w:rPr>
          <w:rFonts w:ascii="Aptos" w:eastAsia="Times New Roman" w:hAnsi="Aptos" w:cs="Times New Roman"/>
          <w:b/>
          <w:bCs/>
          <w:color w:val="000000"/>
        </w:rPr>
        <w:t>. 2026;16(1):7345. Published 2026 Feb 5. doi:10.1038/s41598-026-39051-z</w:t>
      </w:r>
    </w:p>
    <w:p w14:paraId="4537FD23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Gallo RJ, Shieh L, Smith M, Marafino BJ, </w:t>
      </w:r>
      <w:proofErr w:type="spellStart"/>
      <w:r w:rsidRPr="000952B9">
        <w:rPr>
          <w:rFonts w:ascii="Aptos" w:eastAsia="Times New Roman" w:hAnsi="Aptos" w:cs="Times New Roman"/>
          <w:b/>
          <w:bCs/>
          <w:color w:val="000000"/>
        </w:rPr>
        <w:t>Geldsetzer</w:t>
      </w:r>
      <w:proofErr w:type="spellEnd"/>
      <w:r w:rsidRPr="000952B9">
        <w:rPr>
          <w:rFonts w:ascii="Aptos" w:eastAsia="Times New Roman" w:hAnsi="Aptos" w:cs="Times New Roman"/>
          <w:b/>
          <w:bCs/>
          <w:color w:val="000000"/>
        </w:rPr>
        <w:t xml:space="preserve"> P, Asch SM, Shum K, Lin S, Westphal J, Hong JC, Li RC. Effectiveness of an artificial intelligence–enabled intervention for detecting clinical deterioration. JAMA Intern Med. 2024;184(5):557–562. doi:10.1001/jamainternmed.2024.0084</w:t>
      </w:r>
    </w:p>
    <w:p w14:paraId="0FF70BBF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b/>
          <w:bCs/>
          <w:color w:val="000000"/>
        </w:rPr>
        <w:t>Escobar GJ, Liu VX, Schuler A, Lawson B, Greene JD, Kipnis P. Automated identification of adults at risk for in-hospital clinical deterioration. N Engl J Med. 2020;383(20):1951–1960.</w:t>
      </w:r>
    </w:p>
    <w:p w14:paraId="138A64AC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>Kamran F, et al. Evaluation of sepsis prediction models before onset of treatment. NEJM AI. 2024;1(3). doi:10.1056/AIoa2300032</w:t>
      </w:r>
    </w:p>
    <w:p w14:paraId="3F44DC7F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Yuan SX, Wu CD, Liu SQ, et al. AI-powered early warning systems for clinical deterioration significantly improve patient outcomes: a meta-analysis. BMC Med Inform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Decis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Mak. </w:t>
      </w:r>
      <w:proofErr w:type="gramStart"/>
      <w:r w:rsidRPr="000952B9">
        <w:rPr>
          <w:rFonts w:ascii="Aptos" w:eastAsia="Times New Roman" w:hAnsi="Aptos" w:cs="Times New Roman"/>
          <w:color w:val="000000"/>
        </w:rPr>
        <w:t>2025;25:203</w:t>
      </w:r>
      <w:proofErr w:type="gramEnd"/>
      <w:r w:rsidRPr="000952B9">
        <w:rPr>
          <w:rFonts w:ascii="Aptos" w:eastAsia="Times New Roman" w:hAnsi="Aptos" w:cs="Times New Roman"/>
          <w:color w:val="000000"/>
        </w:rPr>
        <w:t>.</w:t>
      </w:r>
    </w:p>
    <w:p w14:paraId="4FCBCEF3" w14:textId="77777777" w:rsidR="000952B9" w:rsidRPr="000952B9" w:rsidRDefault="000952B9" w:rsidP="000952B9">
      <w:pPr>
        <w:numPr>
          <w:ilvl w:val="0"/>
          <w:numId w:val="6"/>
        </w:numPr>
        <w:spacing w:after="100"/>
        <w:ind w:left="1224"/>
        <w:rPr>
          <w:rFonts w:ascii="Aptos" w:eastAsia="Times New Roman" w:hAnsi="Aptos" w:cs="Times New Roman"/>
          <w:color w:val="000000"/>
        </w:rPr>
      </w:pPr>
      <w:r w:rsidRPr="000952B9">
        <w:rPr>
          <w:rFonts w:ascii="Aptos" w:eastAsia="Times New Roman" w:hAnsi="Aptos" w:cs="Times New Roman"/>
          <w:color w:val="000000"/>
        </w:rPr>
        <w:t xml:space="preserve">Scheid MR, Friedmann B, Oppenheim M, Hirsch JS,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Zanos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TP. Development and validation of a clinical wearable deep learning based continuous </w:t>
      </w:r>
      <w:proofErr w:type="spellStart"/>
      <w:r w:rsidRPr="000952B9">
        <w:rPr>
          <w:rFonts w:ascii="Aptos" w:eastAsia="Times New Roman" w:hAnsi="Aptos" w:cs="Times New Roman"/>
          <w:color w:val="000000"/>
        </w:rPr>
        <w:t>inhospital</w:t>
      </w:r>
      <w:proofErr w:type="spellEnd"/>
      <w:r w:rsidRPr="000952B9">
        <w:rPr>
          <w:rFonts w:ascii="Aptos" w:eastAsia="Times New Roman" w:hAnsi="Aptos" w:cs="Times New Roman"/>
          <w:color w:val="000000"/>
        </w:rPr>
        <w:t xml:space="preserve"> deterioration prediction model. </w:t>
      </w:r>
      <w:r w:rsidRPr="000952B9">
        <w:rPr>
          <w:rFonts w:ascii="Aptos" w:eastAsia="Times New Roman" w:hAnsi="Aptos" w:cs="Times New Roman"/>
          <w:i/>
          <w:iCs/>
          <w:color w:val="000000"/>
        </w:rPr>
        <w:t>Nat Commun</w:t>
      </w:r>
      <w:r w:rsidRPr="000952B9">
        <w:rPr>
          <w:rFonts w:ascii="Aptos" w:eastAsia="Times New Roman" w:hAnsi="Aptos" w:cs="Times New Roman"/>
          <w:color w:val="000000"/>
        </w:rPr>
        <w:t>. 2025;16(1):9513. Published 2025 Nov 3. doi:10.1038/s41467-025-65219-8</w:t>
      </w:r>
    </w:p>
    <w:p w14:paraId="58CF1FCF" w14:textId="77777777" w:rsidR="000952B9" w:rsidRPr="000952B9" w:rsidRDefault="000952B9" w:rsidP="000952B9">
      <w:pPr>
        <w:rPr>
          <w:rFonts w:ascii="Times New Roman" w:eastAsia="Times New Roman" w:hAnsi="Times New Roman" w:cs="Times New Roman"/>
        </w:rPr>
      </w:pPr>
    </w:p>
    <w:p w14:paraId="68FFC186" w14:textId="77777777" w:rsidR="005E4ED6" w:rsidRDefault="005E4ED6"/>
    <w:sectPr w:rsidR="005E4ED6" w:rsidSect="002A3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90735"/>
    <w:multiLevelType w:val="multilevel"/>
    <w:tmpl w:val="462A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5C38"/>
    <w:multiLevelType w:val="multilevel"/>
    <w:tmpl w:val="59D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C0770"/>
    <w:multiLevelType w:val="multilevel"/>
    <w:tmpl w:val="FCAE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E5FA7"/>
    <w:multiLevelType w:val="hybridMultilevel"/>
    <w:tmpl w:val="CE34513A"/>
    <w:lvl w:ilvl="0" w:tplc="9B08F8E8">
      <w:start w:val="1"/>
      <w:numFmt w:val="bullet"/>
      <w:lvlText w:val="▪"/>
      <w:lvlJc w:val="left"/>
      <w:pPr>
        <w:spacing w:after="40"/>
        <w:ind w:left="720" w:hanging="360"/>
      </w:pPr>
    </w:lvl>
    <w:lvl w:ilvl="1" w:tplc="98A8FAF4">
      <w:numFmt w:val="decimal"/>
      <w:lvlText w:val=""/>
      <w:lvlJc w:val="left"/>
    </w:lvl>
    <w:lvl w:ilvl="2" w:tplc="2A9AD8B0">
      <w:numFmt w:val="decimal"/>
      <w:lvlText w:val=""/>
      <w:lvlJc w:val="left"/>
    </w:lvl>
    <w:lvl w:ilvl="3" w:tplc="68B2FC08">
      <w:numFmt w:val="decimal"/>
      <w:lvlText w:val=""/>
      <w:lvlJc w:val="left"/>
    </w:lvl>
    <w:lvl w:ilvl="4" w:tplc="650E6312">
      <w:numFmt w:val="decimal"/>
      <w:lvlText w:val=""/>
      <w:lvlJc w:val="left"/>
    </w:lvl>
    <w:lvl w:ilvl="5" w:tplc="1C2E865A">
      <w:numFmt w:val="decimal"/>
      <w:lvlText w:val=""/>
      <w:lvlJc w:val="left"/>
    </w:lvl>
    <w:lvl w:ilvl="6" w:tplc="8C94A80C">
      <w:numFmt w:val="decimal"/>
      <w:lvlText w:val=""/>
      <w:lvlJc w:val="left"/>
    </w:lvl>
    <w:lvl w:ilvl="7" w:tplc="3D983E7C">
      <w:numFmt w:val="decimal"/>
      <w:lvlText w:val=""/>
      <w:lvlJc w:val="left"/>
    </w:lvl>
    <w:lvl w:ilvl="8" w:tplc="A2121258">
      <w:numFmt w:val="decimal"/>
      <w:lvlText w:val=""/>
      <w:lvlJc w:val="left"/>
    </w:lvl>
  </w:abstractNum>
  <w:abstractNum w:abstractNumId="4" w15:restartNumberingAfterBreak="0">
    <w:nsid w:val="6C6C41BE"/>
    <w:multiLevelType w:val="multilevel"/>
    <w:tmpl w:val="AA1E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7020E"/>
    <w:multiLevelType w:val="multilevel"/>
    <w:tmpl w:val="133C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47583">
    <w:abstractNumId w:val="3"/>
    <w:lvlOverride w:ilvl="0">
      <w:startOverride w:val="1"/>
    </w:lvlOverride>
  </w:num>
  <w:num w:numId="2" w16cid:durableId="1141266333">
    <w:abstractNumId w:val="0"/>
  </w:num>
  <w:num w:numId="3" w16cid:durableId="350954187">
    <w:abstractNumId w:val="5"/>
  </w:num>
  <w:num w:numId="4" w16cid:durableId="533884908">
    <w:abstractNumId w:val="4"/>
  </w:num>
  <w:num w:numId="5" w16cid:durableId="60717732">
    <w:abstractNumId w:val="1"/>
  </w:num>
  <w:num w:numId="6" w16cid:durableId="162138019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47"/>
    <w:rsid w:val="000952B9"/>
    <w:rsid w:val="00172F07"/>
    <w:rsid w:val="002A3F2D"/>
    <w:rsid w:val="005C7A4D"/>
    <w:rsid w:val="005E4ED6"/>
    <w:rsid w:val="00684E34"/>
    <w:rsid w:val="007E2F9D"/>
    <w:rsid w:val="008B2E47"/>
    <w:rsid w:val="00B33D5A"/>
    <w:rsid w:val="00E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A5607"/>
  <w15:chartTrackingRefBased/>
  <w15:docId w15:val="{E1538607-848A-BF44-ADFE-5A56098A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E47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E4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B2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E4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9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1363</Words>
  <Characters>7773</Characters>
  <Application>Microsoft Office Word</Application>
  <DocSecurity>0</DocSecurity>
  <Lines>64</Lines>
  <Paragraphs>18</Paragraphs>
  <ScaleCrop>false</ScaleCrop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Wolpaw</dc:creator>
  <cp:keywords/>
  <dc:description/>
  <cp:lastModifiedBy>Jed Wolpaw</cp:lastModifiedBy>
  <cp:revision>2</cp:revision>
  <dcterms:created xsi:type="dcterms:W3CDTF">2026-06-04T11:17:00Z</dcterms:created>
  <dcterms:modified xsi:type="dcterms:W3CDTF">2026-08-06T00:15:00Z</dcterms:modified>
</cp:coreProperties>
</file>