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001F" w14:textId="77777777" w:rsidR="00CE4D9D" w:rsidRPr="00CE4D9D" w:rsidRDefault="00CE4D9D" w:rsidP="00CE4D9D">
      <w:pPr>
        <w:spacing w:after="0" w:line="240" w:lineRule="auto"/>
        <w:rPr>
          <w:rFonts w:ascii="Calibri" w:eastAsia="Times New Roman" w:hAnsi="Calibri" w:cs="Calibri"/>
          <w:color w:val="000000"/>
          <w:kern w:val="0"/>
          <w14:ligatures w14:val="none"/>
        </w:rPr>
      </w:pPr>
      <w:r w:rsidRPr="00CE4D9D">
        <w:rPr>
          <w:rFonts w:ascii="Calibri" w:eastAsia="Times New Roman" w:hAnsi="Calibri" w:cs="Calibri"/>
          <w:b/>
          <w:bCs/>
          <w:color w:val="000000"/>
          <w:kern w:val="0"/>
          <w:u w:val="single"/>
          <w14:ligatures w14:val="none"/>
        </w:rPr>
        <w:t>References:</w:t>
      </w:r>
    </w:p>
    <w:p w14:paraId="25389B20"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Basir MB, Kapur NK, Patel K, et al. Improved Outcomes Associated with the use of Shock Protocols: Updates from the National Cardiogenic Shock Initiative. </w:t>
      </w:r>
      <w:r w:rsidRPr="00CE4D9D">
        <w:rPr>
          <w:rFonts w:ascii="Calibri" w:eastAsia="Times New Roman" w:hAnsi="Calibri" w:cs="Calibri"/>
          <w:i/>
          <w:iCs/>
          <w:color w:val="000000"/>
          <w:kern w:val="0"/>
          <w14:ligatures w14:val="none"/>
        </w:rPr>
        <w:t xml:space="preserve">Catheter Cardiovasc </w:t>
      </w:r>
      <w:proofErr w:type="spellStart"/>
      <w:r w:rsidRPr="00CE4D9D">
        <w:rPr>
          <w:rFonts w:ascii="Calibri" w:eastAsia="Times New Roman" w:hAnsi="Calibri" w:cs="Calibri"/>
          <w:i/>
          <w:iCs/>
          <w:color w:val="000000"/>
          <w:kern w:val="0"/>
          <w14:ligatures w14:val="none"/>
        </w:rPr>
        <w:t>Interv</w:t>
      </w:r>
      <w:proofErr w:type="spellEnd"/>
      <w:r w:rsidRPr="00CE4D9D">
        <w:rPr>
          <w:rFonts w:ascii="Calibri" w:eastAsia="Times New Roman" w:hAnsi="Calibri" w:cs="Calibri"/>
          <w:color w:val="000000"/>
          <w:kern w:val="0"/>
          <w14:ligatures w14:val="none"/>
        </w:rPr>
        <w:t>. 2019;93(7):1173-1183. Doi:10.1002/ccd.28307.</w:t>
      </w:r>
    </w:p>
    <w:p w14:paraId="07A3E9C1"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 xml:space="preserve">Thiele H, Zeymer U, Neumann FJ, et al. </w:t>
      </w:r>
      <w:proofErr w:type="spellStart"/>
      <w:r w:rsidRPr="00CE4D9D">
        <w:rPr>
          <w:rFonts w:ascii="Calibri" w:eastAsia="Times New Roman" w:hAnsi="Calibri" w:cs="Calibri"/>
          <w:color w:val="000000"/>
          <w:kern w:val="0"/>
          <w14:ligatures w14:val="none"/>
        </w:rPr>
        <w:t>Intraaortic</w:t>
      </w:r>
      <w:proofErr w:type="spellEnd"/>
      <w:r w:rsidRPr="00CE4D9D">
        <w:rPr>
          <w:rFonts w:ascii="Calibri" w:eastAsia="Times New Roman" w:hAnsi="Calibri" w:cs="Calibri"/>
          <w:color w:val="000000"/>
          <w:kern w:val="0"/>
          <w14:ligatures w14:val="none"/>
        </w:rPr>
        <w:t xml:space="preserve"> balloon support for myocardial infarction with cardiogenic </w:t>
      </w:r>
      <w:proofErr w:type="spellStart"/>
      <w:proofErr w:type="gramStart"/>
      <w:r w:rsidRPr="00CE4D9D">
        <w:rPr>
          <w:rFonts w:ascii="Calibri" w:eastAsia="Times New Roman" w:hAnsi="Calibri" w:cs="Calibri"/>
          <w:color w:val="000000"/>
          <w:kern w:val="0"/>
          <w14:ligatures w14:val="none"/>
        </w:rPr>
        <w:t>shock.</w:t>
      </w:r>
      <w:r w:rsidRPr="00CE4D9D">
        <w:rPr>
          <w:rFonts w:ascii="Calibri" w:eastAsia="Times New Roman" w:hAnsi="Calibri" w:cs="Calibri"/>
          <w:i/>
          <w:iCs/>
          <w:color w:val="000000"/>
          <w:kern w:val="0"/>
          <w14:ligatures w14:val="none"/>
        </w:rPr>
        <w:t>N</w:t>
      </w:r>
      <w:proofErr w:type="spellEnd"/>
      <w:proofErr w:type="gramEnd"/>
      <w:r w:rsidRPr="00CE4D9D">
        <w:rPr>
          <w:rFonts w:ascii="Calibri" w:eastAsia="Times New Roman" w:hAnsi="Calibri" w:cs="Calibri"/>
          <w:i/>
          <w:iCs/>
          <w:color w:val="000000"/>
          <w:kern w:val="0"/>
          <w14:ligatures w14:val="none"/>
        </w:rPr>
        <w:t xml:space="preserve"> Engl J Med</w:t>
      </w:r>
      <w:r w:rsidRPr="00CE4D9D">
        <w:rPr>
          <w:rFonts w:ascii="Calibri" w:eastAsia="Times New Roman" w:hAnsi="Calibri" w:cs="Calibri"/>
          <w:color w:val="000000"/>
          <w:kern w:val="0"/>
          <w14:ligatures w14:val="none"/>
        </w:rPr>
        <w:t>. 2012;367(14):1287-1296. Doi:10.1056/NEJMoa1208410.</w:t>
      </w:r>
    </w:p>
    <w:p w14:paraId="364B3D66"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Thiele H, Zeymer U, Akin I, et al. Extracorporeal Life Support in Infarct-Related Cardiogenic Shock. </w:t>
      </w:r>
      <w:r w:rsidRPr="00CE4D9D">
        <w:rPr>
          <w:rFonts w:ascii="Calibri" w:eastAsia="Times New Roman" w:hAnsi="Calibri" w:cs="Calibri"/>
          <w:i/>
          <w:iCs/>
          <w:color w:val="000000"/>
          <w:kern w:val="0"/>
          <w14:ligatures w14:val="none"/>
        </w:rPr>
        <w:t>N Engl J Med</w:t>
      </w:r>
      <w:r w:rsidRPr="00CE4D9D">
        <w:rPr>
          <w:rFonts w:ascii="Calibri" w:eastAsia="Times New Roman" w:hAnsi="Calibri" w:cs="Calibri"/>
          <w:color w:val="000000"/>
          <w:kern w:val="0"/>
          <w14:ligatures w14:val="none"/>
        </w:rPr>
        <w:t>. 2023;389(14):1286-1297. Doi:10.1056/NEJMoa2307227.</w:t>
      </w:r>
    </w:p>
    <w:p w14:paraId="7F7F32F0"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 xml:space="preserve">Møller JE, Engstrøm T, Jensen LO, et al. </w:t>
      </w:r>
      <w:proofErr w:type="spellStart"/>
      <w:r w:rsidRPr="00CE4D9D">
        <w:rPr>
          <w:rFonts w:ascii="Calibri" w:eastAsia="Times New Roman" w:hAnsi="Calibri" w:cs="Calibri"/>
          <w:color w:val="000000"/>
          <w:kern w:val="0"/>
          <w14:ligatures w14:val="none"/>
        </w:rPr>
        <w:t>Microaxial</w:t>
      </w:r>
      <w:proofErr w:type="spellEnd"/>
      <w:r w:rsidRPr="00CE4D9D">
        <w:rPr>
          <w:rFonts w:ascii="Calibri" w:eastAsia="Times New Roman" w:hAnsi="Calibri" w:cs="Calibri"/>
          <w:color w:val="000000"/>
          <w:kern w:val="0"/>
          <w14:ligatures w14:val="none"/>
        </w:rPr>
        <w:t xml:space="preserve"> Flow Pump or Standard Care in Infarct-Related Cardiogenic Shock. </w:t>
      </w:r>
      <w:r w:rsidRPr="00CE4D9D">
        <w:rPr>
          <w:rFonts w:ascii="Calibri" w:eastAsia="Times New Roman" w:hAnsi="Calibri" w:cs="Calibri"/>
          <w:i/>
          <w:iCs/>
          <w:color w:val="000000"/>
          <w:kern w:val="0"/>
          <w14:ligatures w14:val="none"/>
        </w:rPr>
        <w:t>N Engl J Med</w:t>
      </w:r>
      <w:r w:rsidRPr="00CE4D9D">
        <w:rPr>
          <w:rFonts w:ascii="Calibri" w:eastAsia="Times New Roman" w:hAnsi="Calibri" w:cs="Calibri"/>
          <w:color w:val="000000"/>
          <w:kern w:val="0"/>
          <w14:ligatures w14:val="none"/>
        </w:rPr>
        <w:t>. 2024;390(15):1382-1393. Doi:10.1056/NEJMoa2312572.</w:t>
      </w:r>
    </w:p>
    <w:p w14:paraId="4DD22CEE"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Baran DA, Grines CL, Bailey S, et al. SCAI clinical expert consensus statement on the classification of cardiogenic shock: This document was endorsed by the American College of Cardiology (ACC), the American Heart Association (AHA), the Society of Critical Care Medicine (SCCM), and the Society of Thoracic Surgeons (STS) in April 2019.</w:t>
      </w:r>
      <w:r w:rsidRPr="00CE4D9D">
        <w:rPr>
          <w:rFonts w:ascii="Calibri" w:eastAsia="Times New Roman" w:hAnsi="Calibri" w:cs="Calibri"/>
          <w:i/>
          <w:iCs/>
          <w:color w:val="000000"/>
          <w:kern w:val="0"/>
          <w14:ligatures w14:val="none"/>
        </w:rPr>
        <w:t xml:space="preserve">Catheter Cardiovasc </w:t>
      </w:r>
      <w:proofErr w:type="spellStart"/>
      <w:r w:rsidRPr="00CE4D9D">
        <w:rPr>
          <w:rFonts w:ascii="Calibri" w:eastAsia="Times New Roman" w:hAnsi="Calibri" w:cs="Calibri"/>
          <w:i/>
          <w:iCs/>
          <w:color w:val="000000"/>
          <w:kern w:val="0"/>
          <w14:ligatures w14:val="none"/>
        </w:rPr>
        <w:t>Interv</w:t>
      </w:r>
      <w:proofErr w:type="spellEnd"/>
      <w:r w:rsidRPr="00CE4D9D">
        <w:rPr>
          <w:rFonts w:ascii="Calibri" w:eastAsia="Times New Roman" w:hAnsi="Calibri" w:cs="Calibri"/>
          <w:color w:val="000000"/>
          <w:kern w:val="0"/>
          <w14:ligatures w14:val="none"/>
        </w:rPr>
        <w:t>. 2019;94(1):29-37. Doi:10.1002/ccd.28329.</w:t>
      </w:r>
    </w:p>
    <w:p w14:paraId="13127729" w14:textId="77777777" w:rsidR="00CE4D9D" w:rsidRPr="00CE4D9D" w:rsidRDefault="00CE4D9D" w:rsidP="00CE4D9D">
      <w:pPr>
        <w:numPr>
          <w:ilvl w:val="0"/>
          <w:numId w:val="1"/>
        </w:numPr>
        <w:spacing w:before="100" w:beforeAutospacing="1" w:after="100" w:afterAutospacing="1" w:line="240" w:lineRule="auto"/>
        <w:ind w:left="945"/>
        <w:rPr>
          <w:rFonts w:ascii="Calibri" w:eastAsia="Times New Roman" w:hAnsi="Calibri" w:cs="Calibri"/>
          <w:color w:val="000000"/>
          <w:kern w:val="0"/>
          <w14:ligatures w14:val="none"/>
        </w:rPr>
      </w:pPr>
      <w:r w:rsidRPr="00CE4D9D">
        <w:rPr>
          <w:rFonts w:ascii="Calibri" w:eastAsia="Times New Roman" w:hAnsi="Calibri" w:cs="Calibri"/>
          <w:color w:val="000000"/>
          <w:kern w:val="0"/>
          <w14:ligatures w14:val="none"/>
        </w:rPr>
        <w:t xml:space="preserve">Rao SV, O'Donoghue ML, Ruel M, et al. 2025 ACC/AHA/ACEP/NAEMSP/SCAI Guideline for the Management of Patients </w:t>
      </w:r>
      <w:proofErr w:type="gramStart"/>
      <w:r w:rsidRPr="00CE4D9D">
        <w:rPr>
          <w:rFonts w:ascii="Calibri" w:eastAsia="Times New Roman" w:hAnsi="Calibri" w:cs="Calibri"/>
          <w:color w:val="000000"/>
          <w:kern w:val="0"/>
          <w14:ligatures w14:val="none"/>
        </w:rPr>
        <w:t>With</w:t>
      </w:r>
      <w:proofErr w:type="gramEnd"/>
      <w:r w:rsidRPr="00CE4D9D">
        <w:rPr>
          <w:rFonts w:ascii="Calibri" w:eastAsia="Times New Roman" w:hAnsi="Calibri" w:cs="Calibri"/>
          <w:color w:val="000000"/>
          <w:kern w:val="0"/>
          <w14:ligatures w14:val="none"/>
        </w:rPr>
        <w:t xml:space="preserve"> Acute Coronary Syndromes: A Report of the American College of Cardiology/American Heart Association Joint Committee on Clinical Practice Guidelines. </w:t>
      </w:r>
      <w:r w:rsidRPr="00CE4D9D">
        <w:rPr>
          <w:rFonts w:ascii="Calibri" w:eastAsia="Times New Roman" w:hAnsi="Calibri" w:cs="Calibri"/>
          <w:i/>
          <w:iCs/>
          <w:color w:val="000000"/>
          <w:kern w:val="0"/>
          <w14:ligatures w14:val="none"/>
        </w:rPr>
        <w:t>Circulation</w:t>
      </w:r>
      <w:r w:rsidRPr="00CE4D9D">
        <w:rPr>
          <w:rFonts w:ascii="Calibri" w:eastAsia="Times New Roman" w:hAnsi="Calibri" w:cs="Calibri"/>
          <w:color w:val="000000"/>
          <w:kern w:val="0"/>
          <w14:ligatures w14:val="none"/>
        </w:rPr>
        <w:t>. 2025;151(13</w:t>
      </w:r>
      <w:proofErr w:type="gramStart"/>
      <w:r w:rsidRPr="00CE4D9D">
        <w:rPr>
          <w:rFonts w:ascii="Calibri" w:eastAsia="Times New Roman" w:hAnsi="Calibri" w:cs="Calibri"/>
          <w:color w:val="000000"/>
          <w:kern w:val="0"/>
          <w14:ligatures w14:val="none"/>
        </w:rPr>
        <w:t>):e</w:t>
      </w:r>
      <w:proofErr w:type="gramEnd"/>
      <w:r w:rsidRPr="00CE4D9D">
        <w:rPr>
          <w:rFonts w:ascii="Calibri" w:eastAsia="Times New Roman" w:hAnsi="Calibri" w:cs="Calibri"/>
          <w:color w:val="000000"/>
          <w:kern w:val="0"/>
          <w14:ligatures w14:val="none"/>
        </w:rPr>
        <w:t>771-e862. doi:10.1161/CIR.0000000000001309.</w:t>
      </w:r>
    </w:p>
    <w:p w14:paraId="29E8EFCA" w14:textId="77777777" w:rsidR="005E4ED6" w:rsidRDefault="005E4ED6"/>
    <w:sectPr w:rsidR="005E4ED6" w:rsidSect="002A3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65BB4"/>
    <w:multiLevelType w:val="multilevel"/>
    <w:tmpl w:val="BEA6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3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9D"/>
    <w:rsid w:val="00172F07"/>
    <w:rsid w:val="002A3F2D"/>
    <w:rsid w:val="005C7A4D"/>
    <w:rsid w:val="005E4ED6"/>
    <w:rsid w:val="007E2F9D"/>
    <w:rsid w:val="00B33D5A"/>
    <w:rsid w:val="00B71692"/>
    <w:rsid w:val="00CE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AC86D"/>
  <w15:chartTrackingRefBased/>
  <w15:docId w15:val="{42E3B7A4-4F3A-0849-811B-8225CAD1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D9D"/>
    <w:rPr>
      <w:rFonts w:eastAsiaTheme="majorEastAsia" w:cstheme="majorBidi"/>
      <w:color w:val="272727" w:themeColor="text1" w:themeTint="D8"/>
    </w:rPr>
  </w:style>
  <w:style w:type="paragraph" w:styleId="Title">
    <w:name w:val="Title"/>
    <w:basedOn w:val="Normal"/>
    <w:next w:val="Normal"/>
    <w:link w:val="TitleChar"/>
    <w:uiPriority w:val="10"/>
    <w:qFormat/>
    <w:rsid w:val="00CE4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D9D"/>
    <w:pPr>
      <w:spacing w:before="160"/>
      <w:jc w:val="center"/>
    </w:pPr>
    <w:rPr>
      <w:i/>
      <w:iCs/>
      <w:color w:val="404040" w:themeColor="text1" w:themeTint="BF"/>
    </w:rPr>
  </w:style>
  <w:style w:type="character" w:customStyle="1" w:styleId="QuoteChar">
    <w:name w:val="Quote Char"/>
    <w:basedOn w:val="DefaultParagraphFont"/>
    <w:link w:val="Quote"/>
    <w:uiPriority w:val="29"/>
    <w:rsid w:val="00CE4D9D"/>
    <w:rPr>
      <w:i/>
      <w:iCs/>
      <w:color w:val="404040" w:themeColor="text1" w:themeTint="BF"/>
    </w:rPr>
  </w:style>
  <w:style w:type="paragraph" w:styleId="ListParagraph">
    <w:name w:val="List Paragraph"/>
    <w:basedOn w:val="Normal"/>
    <w:uiPriority w:val="34"/>
    <w:qFormat/>
    <w:rsid w:val="00CE4D9D"/>
    <w:pPr>
      <w:ind w:left="720"/>
      <w:contextualSpacing/>
    </w:pPr>
  </w:style>
  <w:style w:type="character" w:styleId="IntenseEmphasis">
    <w:name w:val="Intense Emphasis"/>
    <w:basedOn w:val="DefaultParagraphFont"/>
    <w:uiPriority w:val="21"/>
    <w:qFormat/>
    <w:rsid w:val="00CE4D9D"/>
    <w:rPr>
      <w:i/>
      <w:iCs/>
      <w:color w:val="0F4761" w:themeColor="accent1" w:themeShade="BF"/>
    </w:rPr>
  </w:style>
  <w:style w:type="paragraph" w:styleId="IntenseQuote">
    <w:name w:val="Intense Quote"/>
    <w:basedOn w:val="Normal"/>
    <w:next w:val="Normal"/>
    <w:link w:val="IntenseQuoteChar"/>
    <w:uiPriority w:val="30"/>
    <w:qFormat/>
    <w:rsid w:val="00CE4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D9D"/>
    <w:rPr>
      <w:i/>
      <w:iCs/>
      <w:color w:val="0F4761" w:themeColor="accent1" w:themeShade="BF"/>
    </w:rPr>
  </w:style>
  <w:style w:type="character" w:styleId="IntenseReference">
    <w:name w:val="Intense Reference"/>
    <w:basedOn w:val="DefaultParagraphFont"/>
    <w:uiPriority w:val="32"/>
    <w:qFormat/>
    <w:rsid w:val="00CE4D9D"/>
    <w:rPr>
      <w:b/>
      <w:bCs/>
      <w:smallCaps/>
      <w:color w:val="0F4761" w:themeColor="accent1" w:themeShade="BF"/>
      <w:spacing w:val="5"/>
    </w:rPr>
  </w:style>
  <w:style w:type="character" w:customStyle="1" w:styleId="apple-converted-space">
    <w:name w:val="apple-converted-space"/>
    <w:basedOn w:val="DefaultParagraphFont"/>
    <w:rsid w:val="00CE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Wolpaw</dc:creator>
  <cp:keywords/>
  <dc:description/>
  <cp:lastModifiedBy>Jed Wolpaw</cp:lastModifiedBy>
  <cp:revision>1</cp:revision>
  <dcterms:created xsi:type="dcterms:W3CDTF">2025-08-31T14:35:00Z</dcterms:created>
  <dcterms:modified xsi:type="dcterms:W3CDTF">2025-08-31T14:35:00Z</dcterms:modified>
</cp:coreProperties>
</file>