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32" w:rsidRDefault="00853E32">
      <w:r>
        <w:t>Gould MK et al. Prevention of VTE in non-orthopedic surgical patients. Chest 2012</w:t>
      </w:r>
      <w:proofErr w:type="gramStart"/>
      <w:r>
        <w:t>;  141</w:t>
      </w:r>
      <w:proofErr w:type="gramEnd"/>
      <w:r>
        <w:t>(2)(</w:t>
      </w:r>
      <w:proofErr w:type="spellStart"/>
      <w:r>
        <w:t>suppl</w:t>
      </w:r>
      <w:proofErr w:type="spellEnd"/>
      <w:r>
        <w:t>):e2278-e2778.</w:t>
      </w:r>
    </w:p>
    <w:p w:rsidR="00853E32" w:rsidRDefault="00853E32"/>
    <w:p w:rsidR="00853E32" w:rsidRDefault="00853E32">
      <w:proofErr w:type="spellStart"/>
      <w:r>
        <w:t>Falck-Ytter</w:t>
      </w:r>
      <w:proofErr w:type="spellEnd"/>
      <w:r>
        <w:t xml:space="preserve"> Y et al. Prevention of VTE in Orthopedic Surgery Patients. Chest 2012; 141(2</w:t>
      </w:r>
      <w:proofErr w:type="gramStart"/>
      <w:r>
        <w:t>)(</w:t>
      </w:r>
      <w:proofErr w:type="spellStart"/>
      <w:proofErr w:type="gramEnd"/>
      <w:r>
        <w:t>Suppl</w:t>
      </w:r>
      <w:proofErr w:type="spellEnd"/>
      <w:r>
        <w:t>):e2788-e3258.</w:t>
      </w:r>
    </w:p>
    <w:p w:rsidR="00853E32" w:rsidRDefault="00853E32"/>
    <w:p w:rsidR="00853E32" w:rsidRDefault="00853E32">
      <w:r>
        <w:t>Kahn SR et al. Prevention of VTE in Nonsurgical Patients. Chest 2012; 141(2</w:t>
      </w:r>
      <w:proofErr w:type="gramStart"/>
      <w:r>
        <w:t>)(</w:t>
      </w:r>
      <w:proofErr w:type="gramEnd"/>
      <w:r>
        <w:t>Supple):e195S-e226S</w:t>
      </w:r>
    </w:p>
    <w:p w:rsidR="00853E32" w:rsidRDefault="00853E32"/>
    <w:p w:rsidR="00853E32" w:rsidRDefault="00853E32">
      <w:r>
        <w:t xml:space="preserve">ASHP Therapeutic Guidelines on Stress Ulcer Prophylaxis. ASHP Board of Directors. </w:t>
      </w:r>
      <w:proofErr w:type="spellStart"/>
      <w:r>
        <w:t>Amarican</w:t>
      </w:r>
      <w:proofErr w:type="spellEnd"/>
      <w:r>
        <w:t xml:space="preserve"> Journal of Health-Systems Pharmacology. 1999; 56:347-79</w:t>
      </w:r>
    </w:p>
    <w:p w:rsidR="00853E32" w:rsidRDefault="00853E32"/>
    <w:p w:rsidR="00853E32" w:rsidRDefault="007F520A">
      <w:r>
        <w:t>Rhodes A et al. Surviving Sepsis Campaign: International Guidelines for Management of Sepsis and Septic Shock: 2016. Critical Care Medicine 2017:5(3)1-67.</w:t>
      </w:r>
      <w:bookmarkStart w:id="0" w:name="_GoBack"/>
      <w:bookmarkEnd w:id="0"/>
    </w:p>
    <w:sectPr w:rsidR="0085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2"/>
    <w:rsid w:val="005F3CBD"/>
    <w:rsid w:val="007F520A"/>
    <w:rsid w:val="0084028E"/>
    <w:rsid w:val="008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6271B-0833-4E35-9EDD-2DFCA1D7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>Johns Hopkins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2</cp:revision>
  <dcterms:created xsi:type="dcterms:W3CDTF">2017-12-01T18:57:00Z</dcterms:created>
  <dcterms:modified xsi:type="dcterms:W3CDTF">2017-12-01T19:05:00Z</dcterms:modified>
</cp:coreProperties>
</file>