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6C06" w14:textId="7AE01C6F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175F1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</w:rPr>
        <w:t xml:space="preserve"> PE,</w:t>
      </w:r>
      <w:r w:rsidRPr="001175F1">
        <w:rPr>
          <w:rFonts w:ascii="Calibri" w:eastAsia="Times New Roman" w:hAnsi="Calibri" w:cs="Calibri"/>
          <w:color w:val="212121"/>
          <w:sz w:val="28"/>
          <w:szCs w:val="28"/>
        </w:rPr>
        <w:t> Enteral Nutrition Can Be Given To Patients On Vasopressors, Critical Care Medicine, Online8/2019,  : </w:t>
      </w:r>
      <w:hyperlink r:id="rId5" w:tgtFrame="_blank" w:history="1">
        <w:r w:rsidRPr="001175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https://journals.lww.com/ccmjournal/Citation/onlinefirst/Enteral_Nutrition_Can_Be_Given_to_Patients_on.95859.aspx</w:t>
        </w:r>
      </w:hyperlink>
    </w:p>
    <w:p w14:paraId="21E700BE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Calibri" w:eastAsia="Times New Roman" w:hAnsi="Calibri" w:cs="Calibri"/>
          <w:color w:val="212121"/>
          <w:sz w:val="28"/>
          <w:szCs w:val="28"/>
        </w:rPr>
        <w:t> </w:t>
      </w:r>
    </w:p>
    <w:p w14:paraId="36143557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Calibri" w:eastAsia="Times New Roman" w:hAnsi="Calibri" w:cs="Calibri"/>
          <w:color w:val="212121"/>
          <w:sz w:val="28"/>
          <w:szCs w:val="28"/>
          <w:u w:val="single"/>
        </w:rPr>
        <w:t>Nutrition in Sepsis Review:</w:t>
      </w:r>
      <w:r w:rsidRPr="001175F1">
        <w:rPr>
          <w:rFonts w:ascii="Calibri" w:eastAsia="Times New Roman" w:hAnsi="Calibri" w:cs="Calibri"/>
          <w:color w:val="212121"/>
          <w:sz w:val="28"/>
          <w:szCs w:val="28"/>
        </w:rPr>
        <w:t> </w:t>
      </w:r>
    </w:p>
    <w:p w14:paraId="404F2CE9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Calibri" w:eastAsia="Times New Roman" w:hAnsi="Calibri" w:cs="Calibri"/>
          <w:color w:val="212121"/>
          <w:sz w:val="28"/>
          <w:szCs w:val="28"/>
        </w:rPr>
        <w:t> </w:t>
      </w:r>
    </w:p>
    <w:p w14:paraId="387ACC79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 xml:space="preserve"> PE.</w:t>
      </w:r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Nutrition in Sepsis. 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Crit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 xml:space="preserve"> Care Clin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. 34(1):107-125. 2018.. PMID:29149933  </w:t>
      </w:r>
    </w:p>
    <w:p w14:paraId="5A031206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Free Download: </w:t>
      </w:r>
      <w:hyperlink r:id="rId6" w:tgtFrame="_blank" w:history="1">
        <w:r w:rsidRPr="001175F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https://www.ncbi.nlm.nih.gov/pmc/articles/PMC6447319/</w:t>
        </w:r>
      </w:hyperlink>
    </w:p>
    <w:p w14:paraId="42D768BD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  <w:u w:val="single"/>
        </w:rPr>
        <w:t>Critical Care Nutrition Reviews: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5CD9FE77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  <w:u w:val="single"/>
        </w:rPr>
        <w:t> </w:t>
      </w:r>
    </w:p>
    <w:p w14:paraId="3203F2F9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 xml:space="preserve"> PE.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 Tailoring Nutrition Therapy </w:t>
      </w:r>
      <w:proofErr w:type="gram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To</w:t>
      </w:r>
      <w:proofErr w:type="gram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Illness and Recovery: The Future?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 xml:space="preserve">Critical </w:t>
      </w:r>
      <w:proofErr w:type="gram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Care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21</w:t>
      </w:r>
      <w:proofErr w:type="gram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(Suppl 3):316, 2017 </w:t>
      </w:r>
    </w:p>
    <w:p w14:paraId="5C8D08D5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Free Download: </w:t>
      </w:r>
      <w:hyperlink r:id="rId7" w:tgtFrame="_blank" w:history="1">
        <w:r w:rsidRPr="001175F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https://www.ncbi.nlm.nih.gov/pmc/articles/PMC5751603/</w:t>
        </w:r>
      </w:hyperlink>
    </w:p>
    <w:p w14:paraId="2998AD12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 </w:t>
      </w:r>
    </w:p>
    <w:p w14:paraId="61344F46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 </w:t>
      </w:r>
    </w:p>
    <w:p w14:paraId="2ED21210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PE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, San Milan I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,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Winning the war against ICU-acquired weakness: new innovations in nutrition and exercise physiology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Critical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Care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. 19 Suppl </w:t>
      </w:r>
      <w:proofErr w:type="gram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3:S</w:t>
      </w:r>
      <w:proofErr w:type="gram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6, 2015  PMID: 26728966 </w:t>
      </w:r>
    </w:p>
    <w:p w14:paraId="4C0BBD4A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Free Download: </w:t>
      </w:r>
      <w:hyperlink r:id="rId8" w:tgtFrame="_blank" w:history="1">
        <w:r w:rsidRPr="001175F1">
          <w:rPr>
            <w:rFonts w:ascii="Segoe UI" w:eastAsia="Times New Roman" w:hAnsi="Segoe UI" w:cs="Segoe UI"/>
            <w:i/>
            <w:iCs/>
            <w:color w:val="0000FF"/>
            <w:sz w:val="28"/>
            <w:szCs w:val="28"/>
            <w:u w:val="single"/>
          </w:rPr>
          <w:t>https://www.ncbi.nlm.nih.gov/pmc/articles/PMC4699141/</w:t>
        </w:r>
      </w:hyperlink>
    </w:p>
    <w:p w14:paraId="796992AD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  <w:u w:val="single"/>
        </w:rPr>
        <w:t>ICU Microbiome:</w:t>
      </w:r>
    </w:p>
    <w:p w14:paraId="622CEC09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7067F267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McDonald</w:t>
      </w:r>
      <w:r w:rsidRPr="001175F1">
        <w:rPr>
          <w:rFonts w:ascii="Segoe UI" w:eastAsia="Times New Roman" w:hAnsi="Segoe UI" w:cs="Segoe UI"/>
          <w:i/>
          <w:iCs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D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, Ackermann</w:t>
      </w:r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G, 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Khailova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 xml:space="preserve">L, </w:t>
      </w:r>
      <w:proofErr w:type="gram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Baird</w:t>
      </w:r>
      <w:r w:rsidRPr="001175F1">
        <w:rPr>
          <w:rFonts w:ascii="Segoe UI" w:eastAsia="Times New Roman" w:hAnsi="Segoe UI" w:cs="Segoe UI"/>
          <w:i/>
          <w:iCs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</w:rPr>
        <w:t> C</w:t>
      </w:r>
      <w:proofErr w:type="gram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Heyland</w:t>
      </w:r>
      <w:proofErr w:type="spellEnd"/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D,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Kozar</w:t>
      </w:r>
      <w:proofErr w:type="spellEnd"/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R, Lemieux</w:t>
      </w:r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M,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Derenski</w:t>
      </w:r>
      <w:proofErr w:type="spellEnd"/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K, King</w:t>
      </w:r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J,  Vis-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Kampen</w:t>
      </w:r>
      <w:proofErr w:type="spellEnd"/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C, Knight</w:t>
      </w:r>
      <w:r w:rsidRPr="001175F1">
        <w:rPr>
          <w:rFonts w:ascii="Segoe UI" w:eastAsia="Times New Roman" w:hAnsi="Segoe UI" w:cs="Segoe UI"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R, </w:t>
      </w:r>
      <w:proofErr w:type="spellStart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Segoe UI" w:eastAsia="Times New Roman" w:hAnsi="Segoe UI" w:cs="Segoe UI"/>
          <w:b/>
          <w:bCs/>
          <w:color w:val="212121"/>
          <w:sz w:val="20"/>
          <w:szCs w:val="20"/>
          <w:vertAlign w:val="superscript"/>
        </w:rPr>
        <w:t> </w:t>
      </w:r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PE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. The Extreme Dysbiosis of the Microbiome in Critical Illness.  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mSphere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,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  <w:lang w:val="en-GB"/>
        </w:rPr>
        <w:t xml:space="preserve">31;1(4).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  <w:lang w:val="en-GB"/>
        </w:rPr>
        <w:t>pii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  <w:lang w:val="en-GB"/>
        </w:rPr>
        <w:t>: e00199-16.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2016, PMID: 27602409</w:t>
      </w:r>
    </w:p>
    <w:p w14:paraId="5ECB5127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Free Download at: </w:t>
      </w:r>
      <w:hyperlink r:id="rId9" w:tgtFrame="_blank" w:history="1">
        <w:r w:rsidRPr="001175F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https://msphere.asm.org/content/1/4/e00199-16</w:t>
        </w:r>
      </w:hyperlink>
    </w:p>
    <w:p w14:paraId="38F52933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303A4FD0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4814A093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 xml:space="preserve"> PE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, McDonald D, Knight R.  Microbiome and Probiotic Therapy in Critical Care. 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Curr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 xml:space="preserve"> 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Opin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 xml:space="preserve"> 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Crit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 xml:space="preserve"> Care.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Aug;22(4):347-53, 2016 PMID: 27327243 </w:t>
      </w:r>
    </w:p>
    <w:p w14:paraId="5A610237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Free Download at: </w:t>
      </w:r>
      <w:hyperlink r:id="rId10" w:tgtFrame="_blank" w:history="1">
        <w:r w:rsidRPr="001175F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https://www.ncbi.nlm.nih.gov/pmc/articles/PMC5065053/</w:t>
        </w:r>
      </w:hyperlink>
    </w:p>
    <w:p w14:paraId="569ED783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  <w:u w:val="single"/>
        </w:rPr>
        <w:t>Perioperative Nutrition Guidelines:</w:t>
      </w:r>
    </w:p>
    <w:p w14:paraId="26BEAD22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7C04C472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>Wischmeyer</w:t>
      </w:r>
      <w:proofErr w:type="spellEnd"/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  <w:u w:val="single"/>
        </w:rPr>
        <w:t xml:space="preserve"> PE</w:t>
      </w:r>
      <w:r w:rsidRPr="001175F1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> 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, Carli F, Evans DC,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Guilbert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S,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Kozar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R, Pryor A, Thiele RH, Everett S,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Grocott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M, Gan TJ, Shaw AD, Thacker JKM, Miller TE, Hedrick TL, McEvoy MD,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lastRenderedPageBreak/>
        <w:t>Mythen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MG, Bergamaschi R, Gupta R,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Holubar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SD,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Senagore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AJ, </w:t>
      </w:r>
      <w:proofErr w:type="spellStart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Abola</w:t>
      </w:r>
      <w:proofErr w:type="spellEnd"/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 xml:space="preserve"> RE, Bennett-Guerrero E, Kent ML, Feldman LS, Fiore JF Jr; Perioperative Quality Initiative (POQI) 2 Workgroup. American Society for Enhanced Recovery (ASER) and Perioperative Quality Initiative (POQI) Joint Consensus Statement on Nutrition Screening and Therapy within an Enhanced Recovery Pathway. 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Anesth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 xml:space="preserve"> </w:t>
      </w:r>
      <w:proofErr w:type="spellStart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Analg</w:t>
      </w:r>
      <w:proofErr w:type="spellEnd"/>
      <w:r w:rsidRPr="001175F1">
        <w:rPr>
          <w:rFonts w:ascii="Segoe UI" w:eastAsia="Times New Roman" w:hAnsi="Segoe UI" w:cs="Segoe UI"/>
          <w:i/>
          <w:iCs/>
          <w:color w:val="212121"/>
          <w:sz w:val="28"/>
          <w:szCs w:val="28"/>
          <w:u w:val="single"/>
        </w:rPr>
        <w:t>.</w:t>
      </w: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2018 Jun;126(6):188 3-1895 PMID: 29369092 </w:t>
      </w:r>
    </w:p>
    <w:p w14:paraId="5DF1341C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09690931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Free Download at: </w:t>
      </w:r>
      <w:hyperlink r:id="rId11" w:tgtFrame="_blank" w:history="1">
        <w:r w:rsidRPr="001175F1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https://journals.lww.com/anesthesia-analgesia/fulltext/2018/06000/American_Society_for_Enhanced_Recovery_and.19.aspx</w:t>
        </w:r>
      </w:hyperlink>
    </w:p>
    <w:p w14:paraId="1D924950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Segoe UI" w:eastAsia="Times New Roman" w:hAnsi="Segoe UI" w:cs="Segoe UI"/>
          <w:color w:val="212121"/>
          <w:sz w:val="28"/>
          <w:szCs w:val="28"/>
        </w:rPr>
        <w:t> </w:t>
      </w:r>
    </w:p>
    <w:p w14:paraId="1013317F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Calibri" w:eastAsia="Times New Roman" w:hAnsi="Calibri" w:cs="Calibri"/>
          <w:i/>
          <w:iCs/>
          <w:color w:val="212121"/>
          <w:sz w:val="28"/>
          <w:szCs w:val="28"/>
        </w:rPr>
        <w:t> </w:t>
      </w:r>
    </w:p>
    <w:p w14:paraId="4B5E87CA" w14:textId="22BAADE2" w:rsidR="001175F1" w:rsidRPr="001175F1" w:rsidRDefault="001175F1" w:rsidP="001175F1">
      <w:pPr>
        <w:spacing w:after="240"/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Calibri" w:eastAsia="Times New Roman" w:hAnsi="Calibri" w:cs="Calibri"/>
          <w:color w:val="212121"/>
          <w:sz w:val="28"/>
          <w:szCs w:val="28"/>
        </w:rPr>
        <w:t>YouTube lectures on ICU/Surgical Nutrition and Microbiome at: </w:t>
      </w:r>
      <w:hyperlink r:id="rId12" w:tgtFrame="_blank" w:history="1">
        <w:r w:rsidRPr="001175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https://www.youtube.com/channel/UClysqOIhj7xmgw4IQu3lrmA/videos?view_as=subscriber</w:t>
        </w:r>
      </w:hyperlink>
    </w:p>
    <w:p w14:paraId="048C2222" w14:textId="77777777" w:rsidR="001175F1" w:rsidRPr="001175F1" w:rsidRDefault="001175F1" w:rsidP="001175F1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75F1">
        <w:rPr>
          <w:rFonts w:ascii="Calibri" w:eastAsia="Times New Roman" w:hAnsi="Calibri" w:cs="Calibri"/>
          <w:color w:val="212121"/>
          <w:sz w:val="28"/>
          <w:szCs w:val="28"/>
        </w:rPr>
        <w:t> </w:t>
      </w:r>
    </w:p>
    <w:p w14:paraId="0F062C59" w14:textId="3F6F2762" w:rsidR="001175F1" w:rsidRPr="001175F1" w:rsidRDefault="001175F1" w:rsidP="001175F1">
      <w:pPr>
        <w:spacing w:after="24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8"/>
          <w:szCs w:val="28"/>
        </w:rPr>
        <w:t>Webpage</w:t>
      </w:r>
      <w:r w:rsidRPr="001175F1">
        <w:rPr>
          <w:rFonts w:ascii="Calibri" w:eastAsia="Times New Roman" w:hAnsi="Calibri" w:cs="Calibri"/>
          <w:color w:val="212121"/>
          <w:sz w:val="28"/>
          <w:szCs w:val="28"/>
        </w:rPr>
        <w:t xml:space="preserve"> on Critical care and Perioperative Malnutrition: </w:t>
      </w:r>
      <w:hyperlink r:id="rId13" w:tgtFrame="_blank" w:history="1">
        <w:r w:rsidRPr="001175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https://dcri.org/our-work/therapeutic-expertise/perioperative-nutrition/</w:t>
        </w:r>
      </w:hyperlink>
    </w:p>
    <w:p w14:paraId="7D7E594A" w14:textId="77777777" w:rsidR="00060883" w:rsidRDefault="00060883">
      <w:bookmarkStart w:id="0" w:name="_GoBack"/>
      <w:bookmarkEnd w:id="0"/>
    </w:p>
    <w:sectPr w:rsidR="00060883" w:rsidSect="001C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EC8"/>
    <w:multiLevelType w:val="multilevel"/>
    <w:tmpl w:val="9BC4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82C9D"/>
    <w:multiLevelType w:val="multilevel"/>
    <w:tmpl w:val="5CB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E1A08"/>
    <w:multiLevelType w:val="multilevel"/>
    <w:tmpl w:val="CB7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F1"/>
    <w:rsid w:val="00060883"/>
    <w:rsid w:val="001175F1"/>
    <w:rsid w:val="001C63A6"/>
    <w:rsid w:val="003310B4"/>
    <w:rsid w:val="004B0FB3"/>
    <w:rsid w:val="00A47730"/>
    <w:rsid w:val="00E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77EFC"/>
  <w14:defaultImageDpi w14:val="32767"/>
  <w15:chartTrackingRefBased/>
  <w15:docId w15:val="{83E45BEF-E573-A14E-B712-A1C6F326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5F1"/>
  </w:style>
  <w:style w:type="character" w:styleId="Hyperlink">
    <w:name w:val="Hyperlink"/>
    <w:basedOn w:val="DefaultParagraphFont"/>
    <w:uiPriority w:val="99"/>
    <w:semiHidden/>
    <w:unhideWhenUsed/>
    <w:rsid w:val="00117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902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69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5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1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6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0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38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26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4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4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2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9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06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1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80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7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78">
          <w:marLeft w:val="72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812">
          <w:marLeft w:val="72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29">
          <w:marLeft w:val="72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350">
          <w:marLeft w:val="72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699141/" TargetMode="External"/><Relationship Id="rId13" Type="http://schemas.openxmlformats.org/officeDocument/2006/relationships/hyperlink" Target="https://dcri.org/our-work/therapeutic-expertise/perioperative-nutr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751603/" TargetMode="External"/><Relationship Id="rId12" Type="http://schemas.openxmlformats.org/officeDocument/2006/relationships/hyperlink" Target="https://www.youtube.com/channel/UClysqOIhj7xmgw4IQu3lrmA/videos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6447319/" TargetMode="External"/><Relationship Id="rId11" Type="http://schemas.openxmlformats.org/officeDocument/2006/relationships/hyperlink" Target="https://journals.lww.com/anesthesia-analgesia/fulltext/2018/06000/American_Society_for_Enhanced_Recovery_and.19.aspx" TargetMode="External"/><Relationship Id="rId5" Type="http://schemas.openxmlformats.org/officeDocument/2006/relationships/hyperlink" Target="https://journals.lww.com/ccmjournal/Citation/onlinefirst/Enteral_Nutrition_Can_Be_Given_to_Patients_on.95859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50650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here.asm.org/content/1/4/e00199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2019-09-20T22:04:00Z</dcterms:created>
  <dcterms:modified xsi:type="dcterms:W3CDTF">2019-09-20T22:05:00Z</dcterms:modified>
</cp:coreProperties>
</file>