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F35" w:rsidRPr="00865281" w:rsidRDefault="00995F35" w:rsidP="00865281">
      <w:pPr>
        <w:pStyle w:val="ListParagraph"/>
        <w:numPr>
          <w:ilvl w:val="0"/>
          <w:numId w:val="1"/>
        </w:numPr>
        <w:autoSpaceDE w:val="0"/>
        <w:autoSpaceDN w:val="0"/>
        <w:adjustRightInd w:val="0"/>
        <w:rPr>
          <w:rFonts w:cstheme="minorHAnsi"/>
        </w:rPr>
      </w:pPr>
      <w:r w:rsidRPr="00865281">
        <w:rPr>
          <w:rFonts w:cstheme="minorHAnsi"/>
        </w:rPr>
        <w:t>Alexander Y. Mitrophanov, PhD, Fania Szlam, MMSc, Roman M. Sniecinski, MD,</w:t>
      </w:r>
    </w:p>
    <w:p w:rsidR="0073685C" w:rsidRDefault="00995F35" w:rsidP="00865281">
      <w:pPr>
        <w:autoSpaceDE w:val="0"/>
        <w:autoSpaceDN w:val="0"/>
        <w:adjustRightInd w:val="0"/>
        <w:ind w:left="720"/>
        <w:rPr>
          <w:rFonts w:cstheme="minorHAnsi"/>
        </w:rPr>
      </w:pPr>
      <w:r>
        <w:rPr>
          <w:rFonts w:cstheme="minorHAnsi"/>
        </w:rPr>
        <w:t>Jerrold H. Levy, MD,</w:t>
      </w:r>
      <w:r w:rsidRPr="00995F35">
        <w:rPr>
          <w:rFonts w:cstheme="minorHAnsi"/>
        </w:rPr>
        <w:t xml:space="preserve"> </w:t>
      </w:r>
      <w:r>
        <w:rPr>
          <w:rFonts w:cstheme="minorHAnsi"/>
        </w:rPr>
        <w:t>and Jaques Reifman, PhD:</w:t>
      </w:r>
      <w:r w:rsidRPr="00995F35">
        <w:rPr>
          <w:rFonts w:cstheme="minorHAnsi"/>
        </w:rPr>
        <w:t xml:space="preserve"> A Step Toward Balance: Thrombin Generation</w:t>
      </w:r>
      <w:r>
        <w:rPr>
          <w:rFonts w:cstheme="minorHAnsi"/>
        </w:rPr>
        <w:t xml:space="preserve"> </w:t>
      </w:r>
      <w:r w:rsidRPr="00995F35">
        <w:rPr>
          <w:rFonts w:cstheme="minorHAnsi"/>
        </w:rPr>
        <w:t>Improvement via Procoagulant Factor and</w:t>
      </w:r>
      <w:r>
        <w:rPr>
          <w:rFonts w:cstheme="minorHAnsi"/>
        </w:rPr>
        <w:t xml:space="preserve"> </w:t>
      </w:r>
      <w:r w:rsidRPr="00995F35">
        <w:rPr>
          <w:rFonts w:cstheme="minorHAnsi"/>
        </w:rPr>
        <w:t>Antithrombin Supplementation</w:t>
      </w:r>
      <w:r>
        <w:rPr>
          <w:rFonts w:cstheme="minorHAnsi"/>
        </w:rPr>
        <w:t>. Anesth Analg 2016;123:535–46.</w:t>
      </w:r>
    </w:p>
    <w:p w:rsidR="00995F35" w:rsidRDefault="00995F35" w:rsidP="00995F35">
      <w:pPr>
        <w:autoSpaceDE w:val="0"/>
        <w:autoSpaceDN w:val="0"/>
        <w:adjustRightInd w:val="0"/>
        <w:rPr>
          <w:rFonts w:cstheme="minorHAnsi"/>
        </w:rPr>
      </w:pPr>
    </w:p>
    <w:p w:rsidR="00995F35" w:rsidRPr="00865281" w:rsidRDefault="00712FCB" w:rsidP="00865281">
      <w:pPr>
        <w:pStyle w:val="ListParagraph"/>
        <w:numPr>
          <w:ilvl w:val="0"/>
          <w:numId w:val="1"/>
        </w:numPr>
        <w:autoSpaceDE w:val="0"/>
        <w:autoSpaceDN w:val="0"/>
        <w:adjustRightInd w:val="0"/>
        <w:rPr>
          <w:rFonts w:cstheme="minorHAnsi"/>
        </w:rPr>
      </w:pPr>
      <w:r w:rsidRPr="00865281">
        <w:rPr>
          <w:rFonts w:cstheme="minorHAnsi"/>
        </w:rPr>
        <w:t>Bryan A. Cotton, MD, MPH, Lesly A. Dossett, MD, MPH, Elliott R. Haut, MD, Shahid Shafi, MD, MPH, Timothy C. Nunez, MD, Brigham K. Au, MD, Victor Zaydfudim, MD, MPH, Marla Johnston, RN, MSN, Patrick Arbogast, PhD, and Pampee P. Young, MD, PhD. Multicenter Validation of a Simp</w:t>
      </w:r>
      <w:r w:rsidRPr="00865281">
        <w:rPr>
          <w:rFonts w:cstheme="minorHAnsi"/>
        </w:rPr>
        <w:t xml:space="preserve">lified Score to Predict Massive </w:t>
      </w:r>
      <w:r w:rsidRPr="00865281">
        <w:rPr>
          <w:rFonts w:cstheme="minorHAnsi"/>
        </w:rPr>
        <w:t>Transfusion in Trauma</w:t>
      </w:r>
      <w:r w:rsidRPr="00865281">
        <w:rPr>
          <w:rFonts w:cstheme="minorHAnsi"/>
        </w:rPr>
        <w:t>. J Trauma. 2010;69: S33–S39.</w:t>
      </w:r>
    </w:p>
    <w:p w:rsidR="00995F35" w:rsidRDefault="00995F35" w:rsidP="00995F35"/>
    <w:p w:rsidR="001C6760" w:rsidRDefault="001C6760" w:rsidP="00865281">
      <w:pPr>
        <w:pStyle w:val="ListParagraph"/>
        <w:numPr>
          <w:ilvl w:val="0"/>
          <w:numId w:val="1"/>
        </w:numPr>
      </w:pPr>
      <w:r w:rsidRPr="001C6760">
        <w:t>Ross A. Davenport and Karim Brohi</w:t>
      </w:r>
      <w:r>
        <w:t xml:space="preserve">. </w:t>
      </w:r>
      <w:r w:rsidRPr="001C6760">
        <w:t>Cause of trauma-induced coagulopathy</w:t>
      </w:r>
      <w:r>
        <w:t xml:space="preserve">. </w:t>
      </w:r>
      <w:r w:rsidRPr="001C6760">
        <w:t>Curr Opin Anesthesiol 2016, 29:212–219</w:t>
      </w:r>
      <w:r>
        <w:t>.</w:t>
      </w:r>
    </w:p>
    <w:p w:rsidR="001C6760" w:rsidRDefault="001C6760" w:rsidP="00995F35"/>
    <w:p w:rsidR="001C6760" w:rsidRDefault="003F4D23" w:rsidP="00865281">
      <w:pPr>
        <w:pStyle w:val="ListParagraph"/>
        <w:numPr>
          <w:ilvl w:val="0"/>
          <w:numId w:val="1"/>
        </w:numPr>
      </w:pPr>
      <w:r>
        <w:t xml:space="preserve">Robert Wise, Michael Faurie, Manu Malbrain and Eric Hodgson. </w:t>
      </w:r>
      <w:r w:rsidRPr="003F4D23">
        <w:t>Strategies for Intravenous Fluid R</w:t>
      </w:r>
      <w:r>
        <w:t xml:space="preserve">esuscitation in Trauma Patients. </w:t>
      </w:r>
      <w:r w:rsidRPr="003F4D23">
        <w:t>World J Surg (2017) 41:1170–1183</w:t>
      </w:r>
      <w:r>
        <w:t>.</w:t>
      </w:r>
    </w:p>
    <w:p w:rsidR="00A307C5" w:rsidRDefault="00A307C5" w:rsidP="00995F35"/>
    <w:p w:rsidR="00A307C5" w:rsidRDefault="00A307C5" w:rsidP="00865281">
      <w:pPr>
        <w:pStyle w:val="ListParagraph"/>
        <w:numPr>
          <w:ilvl w:val="0"/>
          <w:numId w:val="1"/>
        </w:numPr>
      </w:pPr>
      <w:r>
        <w:t>Hunter B. Moore, MD, Ernest E. Moore, MD, Benjamin R. Huebner, MD, Gregory R. Stettler, MD, Geoffrey R. Nunns, MD,</w:t>
      </w:r>
      <w:r w:rsidRPr="00A307C5">
        <w:t xml:space="preserve"> Pete</w:t>
      </w:r>
      <w:r>
        <w:t xml:space="preserve">r M. Einersen, MD, </w:t>
      </w:r>
      <w:r w:rsidRPr="00A307C5">
        <w:t>Chris</w:t>
      </w:r>
      <w:r>
        <w:t>topher C. Silliman, MD, PhD, and Angela Sauaia, MD, PhD</w:t>
      </w:r>
      <w:r w:rsidRPr="00A307C5">
        <w:t xml:space="preserve"> Tranexamic ac</w:t>
      </w:r>
      <w:r>
        <w:t xml:space="preserve">id is associated with increased </w:t>
      </w:r>
      <w:r w:rsidRPr="00A307C5">
        <w:t>mortality in patients with physiological fibr</w:t>
      </w:r>
      <w:r>
        <w:t>inolysis. Journal</w:t>
      </w:r>
      <w:r w:rsidR="00865281">
        <w:t xml:space="preserve"> of surgical research 2017: 1-6</w:t>
      </w:r>
    </w:p>
    <w:p w:rsidR="00A307C5" w:rsidRDefault="00A307C5" w:rsidP="00995F35"/>
    <w:p w:rsidR="00D26A44" w:rsidRDefault="00D26A44" w:rsidP="00995F35"/>
    <w:p w:rsidR="00D26A44" w:rsidRDefault="00D26A44" w:rsidP="00865281">
      <w:pPr>
        <w:pStyle w:val="ListParagraph"/>
        <w:numPr>
          <w:ilvl w:val="0"/>
          <w:numId w:val="1"/>
        </w:numPr>
      </w:pPr>
      <w:r>
        <w:t>Jeff Simmons</w:t>
      </w:r>
      <w:r w:rsidRPr="00D26A44">
        <w:t>, Robert A. Sikors</w:t>
      </w:r>
      <w:r>
        <w:t xml:space="preserve">ki, and Jean-Francois Pittet </w:t>
      </w:r>
      <w:r w:rsidRPr="00D26A44">
        <w:t>Tranexamic acid: from trauma to routine</w:t>
      </w:r>
      <w:r>
        <w:t xml:space="preserve"> perioperative use.  </w:t>
      </w:r>
      <w:r w:rsidRPr="00D26A44">
        <w:t>Curr Opin Anesthesiol 2015, 28:191–200</w:t>
      </w:r>
      <w:r>
        <w:t>.</w:t>
      </w:r>
    </w:p>
    <w:p w:rsidR="00D26A44" w:rsidRDefault="00D26A44" w:rsidP="00995F35"/>
    <w:p w:rsidR="00D26A44" w:rsidRDefault="00FE0D4D" w:rsidP="00865281">
      <w:pPr>
        <w:pStyle w:val="ListParagraph"/>
        <w:numPr>
          <w:ilvl w:val="0"/>
          <w:numId w:val="1"/>
        </w:numPr>
      </w:pPr>
      <w:r w:rsidRPr="00FE0D4D">
        <w:t>Hunter B Moore, MD, Ernest E Moore, MD, FACS, Michael P Chapm</w:t>
      </w:r>
      <w:r>
        <w:t xml:space="preserve">an, MD, Benjamin R Huebner, MD, </w:t>
      </w:r>
      <w:r w:rsidRPr="00FE0D4D">
        <w:t>Peter M Einersen, MD, Solimon Oushy, MD, Christopher C Silliman, MD, PhD, Anirb</w:t>
      </w:r>
      <w:r>
        <w:t xml:space="preserve">an Banerjee, PhD, </w:t>
      </w:r>
      <w:r w:rsidRPr="00FE0D4D">
        <w:t>Angela Sauaia, MD, PhD</w:t>
      </w:r>
      <w:r>
        <w:t xml:space="preserve">. </w:t>
      </w:r>
      <w:r w:rsidRPr="00FE0D4D">
        <w:t>Viscoelasti</w:t>
      </w:r>
      <w:r w:rsidR="00865281">
        <w:t xml:space="preserve">c Tissue Plasminogen Activator </w:t>
      </w:r>
      <w:r w:rsidRPr="00FE0D4D">
        <w:t>Challen</w:t>
      </w:r>
      <w:r>
        <w:t xml:space="preserve">ge Predicts Massive Transfusion </w:t>
      </w:r>
      <w:r w:rsidRPr="00FE0D4D">
        <w:t>in 15 Minutes</w:t>
      </w:r>
      <w:r w:rsidR="00AD2383">
        <w:t xml:space="preserve">.  </w:t>
      </w:r>
      <w:r w:rsidR="00AD2383" w:rsidRPr="00AD2383">
        <w:t>J Am Coll Surg 2017;225:138e147.</w:t>
      </w:r>
    </w:p>
    <w:p w:rsidR="00865281" w:rsidRDefault="00865281" w:rsidP="00995F35"/>
    <w:p w:rsidR="00865281" w:rsidRDefault="00865281" w:rsidP="00865281">
      <w:pPr>
        <w:pStyle w:val="ListParagraph"/>
        <w:numPr>
          <w:ilvl w:val="0"/>
          <w:numId w:val="1"/>
        </w:numPr>
      </w:pPr>
      <w:bookmarkStart w:id="0" w:name="_GoBack"/>
      <w:bookmarkEnd w:id="0"/>
      <w:r w:rsidRPr="00865281">
        <w:t>Liang Shen, Sheida Tabaie, Natalia Ivascu</w:t>
      </w:r>
      <w:r>
        <w:t xml:space="preserve">. </w:t>
      </w:r>
      <w:r w:rsidRPr="00865281">
        <w:t>Viscoelastic testing insid</w:t>
      </w:r>
      <w:r>
        <w:t xml:space="preserve">e and beyond the operating room. </w:t>
      </w:r>
      <w:r w:rsidRPr="00865281">
        <w:t>J Thorac Dis 2017;9(Suppl 4):S299-S308</w:t>
      </w:r>
      <w:r>
        <w:t>.</w:t>
      </w:r>
    </w:p>
    <w:sectPr w:rsidR="00865281" w:rsidSect="001C6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5B5C"/>
    <w:multiLevelType w:val="hybridMultilevel"/>
    <w:tmpl w:val="2ADA3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F35"/>
    <w:rsid w:val="001C63A6"/>
    <w:rsid w:val="001C6760"/>
    <w:rsid w:val="003F4D23"/>
    <w:rsid w:val="00712FCB"/>
    <w:rsid w:val="0073685C"/>
    <w:rsid w:val="00865281"/>
    <w:rsid w:val="00995F35"/>
    <w:rsid w:val="00A307C5"/>
    <w:rsid w:val="00AD2383"/>
    <w:rsid w:val="00D26A44"/>
    <w:rsid w:val="00FE0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9A5C02"/>
  <w14:defaultImageDpi w14:val="32767"/>
  <w15:chartTrackingRefBased/>
  <w15:docId w15:val="{081964D1-C57F-2E4C-8176-F29C4F8D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Wolpaw</dc:creator>
  <cp:keywords/>
  <dc:description/>
  <cp:lastModifiedBy>Jed Wolpaw</cp:lastModifiedBy>
  <cp:revision>8</cp:revision>
  <dcterms:created xsi:type="dcterms:W3CDTF">2018-02-03T00:14:00Z</dcterms:created>
  <dcterms:modified xsi:type="dcterms:W3CDTF">2018-02-03T00:28:00Z</dcterms:modified>
</cp:coreProperties>
</file>